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48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ПРОТОКОЛ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№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251158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-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2</w:t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pStyle w:val="948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очного заседания Закупочной комиссии по рассмотрению заявок участников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                                                                 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 конкурентному  предварительному отбору в электронной форме на электронной торговой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площадке 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HYPERLINK "https://tender.lot-online.ru/"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Style w:val="957"/>
          <w:rFonts w:ascii="Times New Roman" w:hAnsi="Times New Roman" w:eastAsia="Times New Roman" w:cs="Times New Roman"/>
          <w:sz w:val="22"/>
          <w:szCs w:val="22"/>
        </w:rPr>
        <w:t xml:space="preserve">https://tender.lot-online.ru/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pStyle w:val="952"/>
        <w:jc w:val="center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sz w:val="22"/>
          <w:szCs w:val="22"/>
        </w:rPr>
      </w:r>
      <w:r>
        <w:rPr>
          <w:rFonts w:ascii="Times New Roman" w:hAnsi="Times New Roman" w:cs="Times New Roman"/>
          <w:b w:val="0"/>
          <w:sz w:val="22"/>
          <w:szCs w:val="22"/>
        </w:rPr>
      </w:r>
    </w:p>
    <w:tbl>
      <w:tblPr>
        <w:tblW w:w="10314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951"/>
        <w:gridCol w:w="2976"/>
        <w:gridCol w:w="5387"/>
      </w:tblGrid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948"/>
              <w:ind w:right="16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г. Санкт-Петербург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7" w:type="dxa"/>
            <w:vAlign w:val="center"/>
            <w:textDirection w:val="lrTb"/>
            <w:noWrap w:val="false"/>
          </w:tcPr>
          <w:p>
            <w:pPr>
              <w:pStyle w:val="948"/>
              <w:ind w:left="885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Дата составления протокола: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03.04.2025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948"/>
              <w:ind w:left="885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Дата подписания протокола: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03.04.2025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57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948"/>
              <w:ind w:right="16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7" w:type="dxa"/>
            <w:vAlign w:val="top"/>
            <w:textDirection w:val="lrTb"/>
            <w:noWrap w:val="false"/>
          </w:tcPr>
          <w:p>
            <w:pPr>
              <w:pStyle w:val="948"/>
              <w:ind w:right="16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633"/>
        </w:trPr>
        <w:tc>
          <w:tcPr>
            <w:tcBorders>
              <w:bottom w:val="single" w:color="000000" w:sz="4" w:space="0"/>
            </w:tcBorders>
            <w:tcW w:w="1951" w:type="dxa"/>
            <w:vAlign w:val="center"/>
            <w:textDirection w:val="lrTb"/>
            <w:noWrap w:val="false"/>
          </w:tcPr>
          <w:p>
            <w:pPr>
              <w:pStyle w:val="950"/>
              <w:ind w:right="34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Предмет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конкурентно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го предварительного отбора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8363" w:type="dxa"/>
            <w:vAlign w:val="center"/>
            <w:textDirection w:val="lrTb"/>
            <w:noWrap w:val="false"/>
          </w:tcPr>
          <w:p>
            <w:pPr>
              <w:pStyle w:val="948"/>
              <w:jc w:val="both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На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право заключения  рамочного соглашения  на выполнение проектно-изыскательских работ,  строительно-монтажных работ (с поставкой оборудования) 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полного комплекса проектно-изыскательских и строительно-монтажных работ на электросетевых объектах в целях технологического присоединения энергопринимающих устройств заявителей, повышения надежности электросетевого комплекса, осуществление мероприятий для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исполнения обязат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ельств по сносу и восстановлению электросетевых объектов, попадающих в зону производства работ третьих лиц,  а так же выполнение мероприятий на электросетевых объектах в целях реализации дополнительных услуг по филиалу ПАО «Россети Ленэнерго»  «Южные элект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рические сети»  - общим объемом работ не более  4 966 291 640,00 руб. с НДС. с максимальной стоимостью договора по каждой закупочной процедуре «ЗЦ ПО» не более 15 млн. руб. с НДС (за исключением ЗЦ ПО на право заключения рамочных договоров).  (Дополнительн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ый отбор подрядных организаций)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251158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</w:tr>
    </w:tbl>
    <w:p>
      <w:pPr>
        <w:ind w:right="168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  <w:r>
        <w:rPr>
          <w:rFonts w:ascii="Times New Roman" w:hAnsi="Times New Roman" w:cs="Times New Roman"/>
          <w:sz w:val="22"/>
          <w:szCs w:val="22"/>
          <w:highlight w:val="yellow"/>
        </w:rPr>
      </w:r>
      <w:r>
        <w:rPr>
          <w:rFonts w:ascii="Times New Roman" w:hAnsi="Times New Roman" w:cs="Times New Roman"/>
          <w:sz w:val="22"/>
          <w:szCs w:val="22"/>
          <w:highlight w:val="yellow"/>
        </w:rPr>
      </w:r>
    </w:p>
    <w:p>
      <w:pPr>
        <w:pStyle w:val="948"/>
        <w:ind w:right="168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yellow"/>
        </w:rPr>
      </w:r>
      <w:r>
        <w:rPr>
          <w:rFonts w:ascii="Times New Roman" w:hAnsi="Times New Roman" w:eastAsia="Times New Roman" w:cs="Times New Roman"/>
          <w:sz w:val="22"/>
          <w:szCs w:val="22"/>
          <w:highlight w:val="yellow"/>
        </w:rPr>
      </w:r>
      <w:r>
        <w:rPr>
          <w:rFonts w:ascii="Times New Roman" w:hAnsi="Times New Roman" w:cs="Times New Roman"/>
          <w:sz w:val="22"/>
          <w:szCs w:val="22"/>
          <w:highlight w:val="yellow"/>
        </w:rPr>
      </w:r>
    </w:p>
    <w:p>
      <w:pPr>
        <w:pStyle w:val="948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Повестка дня: </w:t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pStyle w:val="948"/>
        <w:numPr>
          <w:ilvl w:val="0"/>
          <w:numId w:val="37"/>
        </w:numPr>
        <w:ind w:left="0" w:firstLine="284"/>
        <w:jc w:val="both"/>
        <w:keepNext/>
        <w:rPr>
          <w:rFonts w:ascii="Times New Roman" w:hAnsi="Times New Roman" w:cs="Times New Roman"/>
          <w:sz w:val="22"/>
          <w:szCs w:val="22"/>
        </w:rPr>
        <w:outlineLvl w:val="2"/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Рассмотрение заявок Участников.</w:t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pStyle w:val="948"/>
        <w:numPr>
          <w:ilvl w:val="0"/>
          <w:numId w:val="37"/>
        </w:numPr>
        <w:ind w:left="0" w:firstLine="284"/>
        <w:jc w:val="both"/>
        <w:keepNext/>
        <w:rPr>
          <w:rFonts w:ascii="Times New Roman" w:hAnsi="Times New Roman" w:cs="Times New Roman"/>
          <w:sz w:val="22"/>
          <w:szCs w:val="22"/>
        </w:rPr>
        <w:outlineLvl w:val="2"/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Рассмотрение рекомендаций экспертов о соответствии/несоответствии заявок участников.</w:t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pStyle w:val="948"/>
        <w:numPr>
          <w:ilvl w:val="0"/>
          <w:numId w:val="37"/>
        </w:numPr>
        <w:ind w:left="0" w:firstLine="284"/>
        <w:jc w:val="both"/>
        <w:keepNext/>
        <w:rPr>
          <w:rFonts w:ascii="Times New Roman" w:hAnsi="Times New Roman" w:cs="Times New Roman"/>
          <w:sz w:val="22"/>
          <w:szCs w:val="22"/>
        </w:rPr>
        <w:outlineLvl w:val="2"/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Проведение запроса информации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участников конкурентного предварительного отбора в электронной форме, в соответствии с </w:t>
      </w:r>
      <w:r>
        <w:rPr>
          <w:rFonts w:ascii="Times New Roman" w:hAnsi="Times New Roman" w:eastAsia="Times New Roman" w:cs="Times New Roman"/>
          <w:spacing w:val="1"/>
          <w:sz w:val="22"/>
          <w:szCs w:val="22"/>
        </w:rPr>
        <w:t xml:space="preserve">п.п. 2.6 п.2 Приложения №2 Положения о закупке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pStyle w:val="948"/>
        <w:numPr>
          <w:ilvl w:val="0"/>
          <w:numId w:val="37"/>
        </w:numPr>
        <w:ind w:left="0" w:firstLine="284"/>
        <w:jc w:val="both"/>
        <w:keepNext/>
        <w:rPr>
          <w:rFonts w:ascii="Times New Roman" w:hAnsi="Times New Roman" w:cs="Times New Roman"/>
          <w:sz w:val="22"/>
          <w:szCs w:val="22"/>
        </w:rPr>
        <w:outlineLvl w:val="2"/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Продление срока подведения итогов конкурентного предварительного отбора.</w:t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ind w:left="993" w:right="16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48"/>
        <w:ind w:left="993" w:right="16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pStyle w:val="948"/>
        <w:ind w:right="168" w:firstLine="709"/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Дата заседания комиссии: 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03.04.2025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</w:rPr>
      </w:r>
    </w:p>
    <w:p>
      <w:pPr>
        <w:pStyle w:val="948"/>
        <w:ind w:right="168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Кворум имеется. Комиссия правомочна. </w:t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ind w:left="900" w:right="16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948"/>
        <w:ind w:left="900" w:right="16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pStyle w:val="948"/>
        <w:numPr>
          <w:ilvl w:val="0"/>
          <w:numId w:val="2"/>
        </w:numPr>
        <w:ind w:left="0" w:right="168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Общая информация о закупке:</w:t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pStyle w:val="948"/>
        <w:numPr>
          <w:ilvl w:val="0"/>
          <w:numId w:val="3"/>
        </w:numPr>
        <w:ind w:left="0" w:right="1" w:firstLine="709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Основание проведения закупочной процедуры: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соответствии с приказом     ПАО «Россети Ленэнерго» от 26.12.2024 № 835 «Об утверждении Плана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закупки товаров, работ, услуг ПАО «Россети Ленэнерго» на 2025 год», Единым Стандартом закупок ПАО «Россети» (Положение о закупке), решение          о присоединении, к которому принято Советом директоров            ПАО «Россети Ленэнерго» 01.02.2023 (протокол от 02.02.2023 № 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44)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bCs/>
          <w:sz w:val="22"/>
          <w:szCs w:val="22"/>
        </w:rPr>
      </w:r>
      <w:r>
        <w:rPr>
          <w:rFonts w:ascii="Times New Roman" w:hAnsi="Times New Roman" w:cs="Times New Roman"/>
          <w:bCs/>
          <w:sz w:val="22"/>
          <w:szCs w:val="22"/>
        </w:rPr>
      </w:r>
    </w:p>
    <w:p>
      <w:pPr>
        <w:pStyle w:val="948"/>
        <w:numPr>
          <w:ilvl w:val="0"/>
          <w:numId w:val="3"/>
        </w:numPr>
        <w:ind w:left="0" w:right="1" w:firstLine="709"/>
        <w:jc w:val="both"/>
        <w:tabs>
          <w:tab w:val="left" w:pos="1418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Извещение от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25.02.2025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 проведении конкурентного предварительного отбора в электронной форме, документация о закупке опубликованы 26.02.2025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 официальном сайте (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HYPERLINK "http://www.zakupki.gov.ru"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Style w:val="957"/>
          <w:rFonts w:ascii="Times New Roman" w:hAnsi="Times New Roman" w:eastAsia="Times New Roman" w:cs="Times New Roman"/>
          <w:color w:val="000000"/>
          <w:sz w:val="22"/>
          <w:szCs w:val="22"/>
        </w:rPr>
        <w:t xml:space="preserve">www.zakupki.</w:t>
      </w:r>
      <w:r>
        <w:rPr>
          <w:rStyle w:val="957"/>
          <w:rFonts w:ascii="Times New Roman" w:hAnsi="Times New Roman" w:eastAsia="Times New Roman" w:cs="Times New Roman"/>
          <w:color w:val="000000"/>
          <w:sz w:val="22"/>
          <w:szCs w:val="22"/>
          <w:lang w:val="en-US"/>
        </w:rPr>
        <w:t xml:space="preserve">gov</w:t>
      </w:r>
      <w:r>
        <w:rPr>
          <w:rStyle w:val="957"/>
          <w:rFonts w:ascii="Times New Roman" w:hAnsi="Times New Roman" w:eastAsia="Times New Roman" w:cs="Times New Roman"/>
          <w:color w:val="000000"/>
          <w:sz w:val="22"/>
          <w:szCs w:val="22"/>
        </w:rPr>
        <w:t xml:space="preserve">.ru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),</w:t>
      </w:r>
      <w:r>
        <w:rPr>
          <w:rFonts w:ascii="Times New Roman" w:hAnsi="Times New Roman" w:eastAsia="Times New Roman" w:cs="Times New Roman"/>
          <w:iCs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 сайте ЭТП 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HYPERLINK "https://tender.lot-online.ru/"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Style w:val="957"/>
          <w:rFonts w:ascii="Times New Roman" w:hAnsi="Times New Roman" w:eastAsia="Times New Roman" w:cs="Times New Roman"/>
          <w:color w:val="000000"/>
          <w:sz w:val="22"/>
          <w:szCs w:val="22"/>
        </w:rPr>
        <w:t xml:space="preserve">https://tender.lot-online.ru/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 </w:t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pStyle w:val="948"/>
        <w:numPr>
          <w:ilvl w:val="0"/>
          <w:numId w:val="3"/>
        </w:numPr>
        <w:ind w:left="0" w:right="1" w:firstLine="709"/>
        <w:jc w:val="both"/>
        <w:tabs>
          <w:tab w:val="left" w:pos="1418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Согласно процедуре электронных торгов на электронной торговой площадке 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HYPERLINK "https://tender.lot-online.ru/"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Style w:val="957"/>
          <w:rFonts w:ascii="Times New Roman" w:hAnsi="Times New Roman" w:eastAsia="Times New Roman" w:cs="Times New Roman"/>
          <w:color w:val="000000"/>
          <w:sz w:val="22"/>
          <w:szCs w:val="22"/>
        </w:rPr>
        <w:t xml:space="preserve">https://tender.lot-online.ru/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от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26.02.2025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объявление № 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highlight w:val="white"/>
        </w:rPr>
        <w:t xml:space="preserve">LENER25091DP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(номер извещения на сайте 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</w:instrTex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instrText xml:space="preserve">HYPERLINK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"</w:instrTex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instrText xml:space="preserve">http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://</w:instrTex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instrText xml:space="preserve">www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.</w:instrTex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instrText xml:space="preserve">zakupki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.</w:instrTex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instrText xml:space="preserve">gov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.</w:instrTex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instrText xml:space="preserve">ru</w:instrText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/223" </w:instrTex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fldChar w:fldCharType="separate"/>
      </w:r>
      <w:r>
        <w:rPr>
          <w:rStyle w:val="957"/>
          <w:rFonts w:ascii="Times New Roman" w:hAnsi="Times New Roman" w:eastAsia="Times New Roman" w:cs="Times New Roman"/>
          <w:color w:val="000000"/>
          <w:sz w:val="22"/>
          <w:szCs w:val="22"/>
          <w:lang w:val="en-US"/>
        </w:rPr>
        <w:t xml:space="preserve">www</w:t>
      </w:r>
      <w:r>
        <w:rPr>
          <w:rStyle w:val="957"/>
          <w:rFonts w:ascii="Times New Roman" w:hAnsi="Times New Roman" w:eastAsia="Times New Roman" w:cs="Times New Roman"/>
          <w:color w:val="000000"/>
          <w:sz w:val="22"/>
          <w:szCs w:val="22"/>
        </w:rPr>
        <w:t xml:space="preserve">.</w:t>
      </w:r>
      <w:r>
        <w:rPr>
          <w:rStyle w:val="957"/>
          <w:rFonts w:ascii="Times New Roman" w:hAnsi="Times New Roman" w:eastAsia="Times New Roman" w:cs="Times New Roman"/>
          <w:color w:val="000000"/>
          <w:sz w:val="22"/>
          <w:szCs w:val="22"/>
          <w:lang w:val="en-US"/>
        </w:rPr>
        <w:t xml:space="preserve">zakupki</w:t>
      </w:r>
      <w:r>
        <w:rPr>
          <w:rStyle w:val="957"/>
          <w:rFonts w:ascii="Times New Roman" w:hAnsi="Times New Roman" w:eastAsia="Times New Roman" w:cs="Times New Roman"/>
          <w:color w:val="000000"/>
          <w:sz w:val="22"/>
          <w:szCs w:val="22"/>
        </w:rPr>
        <w:t xml:space="preserve">.</w:t>
      </w:r>
      <w:r>
        <w:rPr>
          <w:rStyle w:val="957"/>
          <w:rFonts w:ascii="Times New Roman" w:hAnsi="Times New Roman" w:eastAsia="Times New Roman" w:cs="Times New Roman"/>
          <w:color w:val="000000"/>
          <w:sz w:val="22"/>
          <w:szCs w:val="22"/>
          <w:lang w:val="en-US"/>
        </w:rPr>
        <w:t xml:space="preserve">gov</w:t>
      </w:r>
      <w:r>
        <w:rPr>
          <w:rStyle w:val="957"/>
          <w:rFonts w:ascii="Times New Roman" w:hAnsi="Times New Roman" w:eastAsia="Times New Roman" w:cs="Times New Roman"/>
          <w:color w:val="000000"/>
          <w:sz w:val="22"/>
          <w:szCs w:val="22"/>
        </w:rPr>
        <w:t xml:space="preserve">.</w:t>
      </w:r>
      <w:r>
        <w:rPr>
          <w:rStyle w:val="957"/>
          <w:rFonts w:ascii="Times New Roman" w:hAnsi="Times New Roman" w:eastAsia="Times New Roman" w:cs="Times New Roman"/>
          <w:color w:val="000000"/>
          <w:sz w:val="22"/>
          <w:szCs w:val="22"/>
          <w:lang w:val="en-US"/>
        </w:rPr>
        <w:t xml:space="preserve">ru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№ 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highlight w:val="white"/>
        </w:rPr>
        <w:t xml:space="preserve">32514557153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в качестве участников данного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конкурентного предварительного отбора зарегистрировались следующие участники:</w:t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pStyle w:val="948"/>
        <w:ind w:left="709" w:right="1"/>
        <w:jc w:val="both"/>
        <w:tabs>
          <w:tab w:val="left" w:pos="1418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</w:p>
    <w:tbl>
      <w:tblPr>
        <w:tblW w:w="10117" w:type="dxa"/>
        <w:jc w:val="center"/>
        <w:tblInd w:w="0" w:type="dxa"/>
        <w:tblLayout w:type="fixed"/>
        <w:tblCellMar>
          <w:left w:w="100" w:type="dxa"/>
          <w:top w:w="0" w:type="dxa"/>
          <w:right w:w="100" w:type="dxa"/>
          <w:bottom w:w="0" w:type="dxa"/>
        </w:tblCellMar>
        <w:tblLook w:val="04A0" w:firstRow="1" w:lastRow="0" w:firstColumn="1" w:lastColumn="0" w:noHBand="0" w:noVBand="1"/>
      </w:tblPr>
      <w:tblGrid>
        <w:gridCol w:w="804"/>
        <w:gridCol w:w="2935"/>
        <w:gridCol w:w="6378"/>
      </w:tblGrid>
      <w:tr>
        <w:tblPrEx/>
        <w:trPr>
          <w:cantSplit/>
          <w:trHeight w:val="48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" w:type="dxa"/>
            <w:vAlign w:val="center"/>
            <w:textDirection w:val="lrTb"/>
            <w:noWrap w:val="false"/>
          </w:tcPr>
          <w:p>
            <w:pPr>
              <w:pStyle w:val="948"/>
              <w:ind w:right="142"/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 w:type="page" w:clear="all"/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Номер п/п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35" w:type="dxa"/>
            <w:vAlign w:val="center"/>
            <w:textDirection w:val="lrTb"/>
            <w:noWrap w:val="false"/>
          </w:tcPr>
          <w:p>
            <w:pPr>
              <w:pStyle w:val="948"/>
              <w:ind w:left="142" w:right="142"/>
              <w:jc w:val="center"/>
              <w:widowControl w:val="off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Дата и время регистрации заявки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8" w:type="dxa"/>
            <w:vAlign w:val="center"/>
            <w:textDirection w:val="lrTb"/>
            <w:noWrap w:val="false"/>
          </w:tcPr>
          <w:p>
            <w:pPr>
              <w:pStyle w:val="948"/>
              <w:ind w:left="142" w:right="142"/>
              <w:jc w:val="center"/>
              <w:widowControl w:val="off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Участник конкурентного предварительного отбора в электронной форме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</w:tr>
      <w:tr>
        <w:tblPrEx/>
        <w:trPr>
          <w:cantSplit/>
          <w:trHeight w:val="6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" w:type="dxa"/>
            <w:vAlign w:val="center"/>
            <w:textDirection w:val="lrTb"/>
            <w:noWrap w:val="false"/>
          </w:tcPr>
          <w:p>
            <w:pPr>
              <w:pStyle w:val="948"/>
              <w:ind w:right="222"/>
              <w:jc w:val="center"/>
              <w:widowControl w:val="off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35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06.03.2025 17:19:29 MCK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ООО «Онтек»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cantSplit/>
          <w:trHeight w:val="6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" w:type="dxa"/>
            <w:vAlign w:val="center"/>
            <w:textDirection w:val="lrTb"/>
            <w:noWrap w:val="false"/>
          </w:tcPr>
          <w:p>
            <w:pPr>
              <w:pStyle w:val="948"/>
              <w:ind w:right="142"/>
              <w:jc w:val="center"/>
              <w:widowControl w:val="off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35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17.03.2025 17:35:41 MCK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ООО УК «Северный Город»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blPrEx/>
        <w:trPr>
          <w:cantSplit/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" w:type="dxa"/>
            <w:vAlign w:val="center"/>
            <w:textDirection w:val="lrTb"/>
            <w:noWrap w:val="false"/>
          </w:tcPr>
          <w:p>
            <w:pPr>
              <w:pStyle w:val="948"/>
              <w:ind w:right="142"/>
              <w:jc w:val="center"/>
              <w:widowControl w:val="off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35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19.03.2025 10:02:46 MCK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37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Коллективный участник в составе: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 ООО «Смарт-Энерго» (лидер), ООО «СТРОИТЕЛЬНАЯ КОМПАНИЯ «НОВЫЙ ДОМ» (участник)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</w:p>
        </w:tc>
      </w:tr>
    </w:tbl>
    <w:p>
      <w:pPr>
        <w:pStyle w:val="948"/>
        <w:ind w:right="168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yellow"/>
        </w:rPr>
      </w:r>
      <w:r>
        <w:rPr>
          <w:rFonts w:ascii="Times New Roman" w:hAnsi="Times New Roman" w:eastAsia="Times New Roman" w:cs="Times New Roman"/>
          <w:sz w:val="22"/>
          <w:szCs w:val="22"/>
          <w:highlight w:val="yellow"/>
        </w:rPr>
      </w:r>
      <w:r>
        <w:rPr>
          <w:rFonts w:ascii="Times New Roman" w:hAnsi="Times New Roman" w:cs="Times New Roman"/>
          <w:sz w:val="22"/>
          <w:szCs w:val="22"/>
          <w:highlight w:val="yellow"/>
        </w:rPr>
      </w:r>
    </w:p>
    <w:p>
      <w:pPr>
        <w:pStyle w:val="948"/>
        <w:numPr>
          <w:ilvl w:val="0"/>
          <w:numId w:val="3"/>
        </w:numPr>
        <w:ind w:left="0" w:right="168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Начальная (максимальная) цена договора (рамочного соглашения) (цена закупки) - Ценовой лимит рамочного соглашения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руб. с НДС/без НДС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Срок действия рамочного соглашения (срок выполнения работ):</w:t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ind w:left="709" w:right="168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none"/>
        </w:rPr>
      </w:r>
      <w:r>
        <w:rPr>
          <w:rFonts w:ascii="Times New Roman" w:hAnsi="Times New Roman" w:eastAsia="Times New Roman" w:cs="Times New Roman"/>
          <w:sz w:val="22"/>
          <w:szCs w:val="22"/>
          <w:highlight w:val="none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</w:p>
    <w:tbl>
      <w:tblPr>
        <w:tblW w:w="4828" w:type="pct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6755"/>
        <w:gridCol w:w="33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3"/>
        </w:trPr>
        <w:tc>
          <w:tcPr>
            <w:tcW w:w="3356" w:type="pct"/>
            <w:vAlign w:val="center"/>
            <w:textDirection w:val="lrTb"/>
            <w:noWrap w:val="false"/>
          </w:tcPr>
          <w:p>
            <w:pPr>
              <w:pStyle w:val="94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 w:type="page" w:clear="all"/>
              <w:t xml:space="preserve">Начальная (максимальная) цена договора (рамочного соглашения) (цена закупки) - Ценовой лимит рамочного соглашения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, </w:t>
              <w:br w:type="textWrapping" w:clear="all"/>
              <w:t xml:space="preserve">руб. с НДС/без НДС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644" w:type="pct"/>
            <w:vAlign w:val="center"/>
            <w:textDirection w:val="lrTb"/>
            <w:noWrap w:val="false"/>
          </w:tcPr>
          <w:p>
            <w:pPr>
              <w:pStyle w:val="94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Срок действия рамочного соглашения (срок выполнения работ)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76"/>
        </w:trPr>
        <w:tc>
          <w:tcPr>
            <w:tcW w:w="3356" w:type="pct"/>
            <w:vAlign w:val="center"/>
            <w:textDirection w:val="lrTb"/>
            <w:noWrap w:val="false"/>
          </w:tcPr>
          <w:p>
            <w:pPr>
              <w:pStyle w:val="94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общим объемом выполнения работ не более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pStyle w:val="94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4 966 291 640,00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руб. с НДС.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W w:w="1644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29.04.2025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-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30.12.2026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</w:tbl>
    <w:p>
      <w:pPr>
        <w:pStyle w:val="948"/>
        <w:ind w:right="168"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pStyle w:val="948"/>
        <w:numPr>
          <w:ilvl w:val="0"/>
          <w:numId w:val="2"/>
        </w:numPr>
        <w:ind w:left="0" w:right="168"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Закупоч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ная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комиссия рассмотрела и определила:</w:t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pStyle w:val="974"/>
        <w:ind w:firstLine="540"/>
        <w:jc w:val="both"/>
        <w:spacing w:before="0" w:after="0"/>
        <w:widowControl w:val="off"/>
        <w:tabs>
          <w:tab w:val="left" w:pos="567" w:leader="none"/>
        </w:tabs>
        <w:rPr>
          <w:rFonts w:ascii="Times New Roman" w:hAnsi="Times New Roman" w:cs="Times New Roman"/>
          <w:bCs/>
          <w:sz w:val="22"/>
          <w:szCs w:val="22"/>
          <w:highlight w:val="yellow"/>
        </w:rPr>
      </w:pPr>
      <w:r>
        <w:rPr>
          <w:rFonts w:ascii="Times New Roman" w:hAnsi="Times New Roman" w:eastAsia="Times New Roman" w:cs="Times New Roman"/>
          <w:bCs/>
          <w:sz w:val="22"/>
          <w:szCs w:val="22"/>
          <w:highlight w:val="yellow"/>
        </w:rPr>
      </w:r>
      <w:r>
        <w:rPr>
          <w:rFonts w:ascii="Times New Roman" w:hAnsi="Times New Roman" w:eastAsia="Times New Roman" w:cs="Times New Roman"/>
          <w:bCs/>
          <w:sz w:val="22"/>
          <w:szCs w:val="22"/>
          <w:highlight w:val="yellow"/>
        </w:rPr>
      </w:r>
      <w:r>
        <w:rPr>
          <w:rFonts w:ascii="Times New Roman" w:hAnsi="Times New Roman" w:cs="Times New Roman"/>
          <w:bCs/>
          <w:sz w:val="22"/>
          <w:szCs w:val="22"/>
          <w:highlight w:val="yellow"/>
        </w:rPr>
      </w:r>
    </w:p>
    <w:p>
      <w:pPr>
        <w:pStyle w:val="948"/>
        <w:numPr>
          <w:ilvl w:val="0"/>
          <w:numId w:val="38"/>
        </w:numPr>
        <w:contextualSpacing/>
        <w:ind w:left="0" w:firstLine="1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Принять рекомендации экспертов о соответствии/несоответствии заявок Участников.</w:t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pStyle w:val="948"/>
        <w:numPr>
          <w:ilvl w:val="0"/>
          <w:numId w:val="38"/>
        </w:numPr>
        <w:contextualSpacing/>
        <w:ind w:left="0" w:firstLine="1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В целях проведения оценки заявок Участников, 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апросить у Участников предварительного отбора в электронной форме разъясняющую информацию и документы, согласно нижеприведенному перечню, </w:t>
      </w:r>
      <w:r>
        <w:rPr>
          <w:rFonts w:ascii="Times New Roman" w:hAnsi="Times New Roman" w:eastAsia="Times New Roman" w:cs="Times New Roman"/>
          <w:spacing w:val="1"/>
          <w:sz w:val="22"/>
          <w:szCs w:val="22"/>
        </w:rPr>
        <w:t xml:space="preserve">в соответствии с п.п. 2.6 п.2 Приложения №2 Положения о закупке: </w:t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pStyle w:val="948"/>
        <w:contextualSpacing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rPr>
          <w:rFonts w:ascii="Times New Roman" w:hAnsi="Times New Roman" w:cs="Times New Roman"/>
          <w:b/>
          <w:bCs/>
          <w:sz w:val="22"/>
          <w:szCs w:val="22"/>
          <w:highlight w:val="none"/>
          <w:u w:val="single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  <w:u w:val="single"/>
        </w:rPr>
        <w:t xml:space="preserve">ООО «Онтек»</w:t>
      </w:r>
      <w:r>
        <w:rPr>
          <w:rFonts w:ascii="Times New Roman" w:hAnsi="Times New Roman" w:eastAsia="Times New Roman" w:cs="Times New Roman"/>
          <w:b/>
          <w:bCs/>
          <w:sz w:val="22"/>
          <w:szCs w:val="22"/>
          <w:u w:val="single"/>
        </w:rPr>
        <w:t xml:space="preserve">:</w:t>
      </w:r>
      <w:r>
        <w:rPr>
          <w:rFonts w:ascii="Times New Roman" w:hAnsi="Times New Roman" w:eastAsia="Times New Roman" w:cs="Times New Roman"/>
          <w:b/>
          <w:bCs/>
          <w:sz w:val="22"/>
          <w:szCs w:val="22"/>
          <w:u w:val="singl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2"/>
          <w:szCs w:val="22"/>
          <w:u w:val="single"/>
        </w:rPr>
      </w:r>
      <w:r>
        <w:rPr>
          <w:rFonts w:ascii="Times New Roman" w:hAnsi="Times New Roman" w:eastAsia="Times New Roman" w:cs="Times New Roman"/>
          <w:b/>
          <w:bCs/>
          <w:sz w:val="22"/>
          <w:szCs w:val="22"/>
          <w:u w:val="single"/>
        </w:rPr>
      </w:r>
    </w:p>
    <w:p>
      <w:pPr>
        <w:jc w:val="both"/>
        <w:rPr>
          <w:rFonts w:ascii="Times New Roman" w:hAnsi="Times New Roman" w:cs="Times New Roman"/>
          <w:b w:val="0"/>
          <w:bCs/>
          <w:i/>
          <w:sz w:val="22"/>
          <w:szCs w:val="22"/>
          <w:highlight w:val="none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  <w:u w:val="none"/>
        </w:rPr>
        <w:t xml:space="preserve">-необходимо представить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форму №5 «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Справка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 цепочке собственников участника закупки, включая бенефициаров (в том числе конечных)»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  <w:u w:val="none"/>
        </w:rPr>
        <w:t xml:space="preserve">, 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согласно п. 10 раздела 2 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 документации о закупке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  <w:u w:val="none"/>
        </w:rPr>
        <w:t xml:space="preserve">. 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z w:val="22"/>
          <w:szCs w:val="22"/>
          <w:highlight w:val="none"/>
          <w:u w:val="none"/>
        </w:rPr>
      </w:r>
      <w:r>
        <w:rPr>
          <w:rFonts w:ascii="Times New Roman" w:hAnsi="Times New Roman" w:eastAsia="Times New Roman" w:cs="Times New Roman"/>
          <w:bCs/>
          <w:i/>
          <w:sz w:val="22"/>
          <w:szCs w:val="22"/>
        </w:rPr>
      </w:r>
    </w:p>
    <w:p>
      <w:pPr>
        <w:jc w:val="both"/>
        <w:rPr>
          <w:rFonts w:ascii="Times New Roman" w:hAnsi="Times New Roman" w:cs="Times New Roman"/>
          <w:bCs/>
          <w:i/>
          <w:sz w:val="22"/>
          <w:szCs w:val="22"/>
        </w:rPr>
      </w:pPr>
      <w:r>
        <w:rPr>
          <w:rFonts w:ascii="Times New Roman" w:hAnsi="Times New Roman" w:eastAsia="Times New Roman" w:cs="Times New Roman"/>
          <w:b w:val="0"/>
          <w:bCs w:val="0"/>
          <w:i/>
          <w:iCs/>
          <w:sz w:val="22"/>
          <w:szCs w:val="22"/>
          <w:highlight w:val="none"/>
          <w:u w:val="none"/>
        </w:rPr>
        <w:t xml:space="preserve">При подготовке документов использовать формы, представленные в разделе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2"/>
          <w:szCs w:val="22"/>
          <w:lang w:val="en-US"/>
        </w:rPr>
        <w:t xml:space="preserve">III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 «ОБРАЗЦЫ ФОРМ ДЛЯ ЗАПОЛНЕНИЯ УЧАСТНИКАМИ ЗАКУПКИ» документации о закупки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z w:val="22"/>
          <w:szCs w:val="22"/>
          <w:highlight w:val="none"/>
          <w:u w:val="none"/>
        </w:rPr>
        <w:t xml:space="preserve">.</w:t>
      </w:r>
      <w:r>
        <w:rPr>
          <w:rFonts w:ascii="Times New Roman" w:hAnsi="Times New Roman" w:eastAsia="Times New Roman" w:cs="Times New Roman"/>
          <w:b/>
          <w:i/>
          <w:iCs/>
          <w:sz w:val="22"/>
          <w:szCs w:val="22"/>
          <w:highlight w:val="none"/>
          <w:u w:val="single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contextualSpacing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sz w:val="22"/>
          <w:szCs w:val="22"/>
          <w:u w:val="single"/>
        </w:rPr>
      </w:r>
      <w:r>
        <w:rPr>
          <w:rFonts w:ascii="Times New Roman" w:hAnsi="Times New Roman" w:cs="Times New Roman"/>
          <w:b/>
          <w:sz w:val="22"/>
          <w:szCs w:val="22"/>
          <w:u w:val="single"/>
        </w:rPr>
      </w:r>
    </w:p>
    <w:p>
      <w:pPr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  <w:u w:val="single"/>
        </w:rPr>
        <w:t xml:space="preserve">ООО УК «Северный Город»</w:t>
      </w:r>
      <w:r>
        <w:rPr>
          <w:rFonts w:ascii="Times New Roman" w:hAnsi="Times New Roman" w:eastAsia="Times New Roman" w:cs="Times New Roman"/>
          <w:b/>
          <w:bCs/>
          <w:sz w:val="22"/>
          <w:szCs w:val="22"/>
          <w:u w:val="single"/>
        </w:rPr>
        <w:t xml:space="preserve">:</w:t>
      </w:r>
      <w:r>
        <w:rPr>
          <w:rFonts w:ascii="Times New Roman" w:hAnsi="Times New Roman" w:eastAsia="Times New Roman" w:cs="Times New Roman"/>
          <w:b/>
          <w:bCs/>
          <w:sz w:val="22"/>
          <w:szCs w:val="22"/>
          <w:u w:val="single"/>
        </w:rPr>
      </w:r>
      <w:r>
        <w:rPr>
          <w:rFonts w:ascii="Times New Roman" w:hAnsi="Times New Roman" w:eastAsia="Times New Roman" w:cs="Times New Roman"/>
          <w:b/>
          <w:bCs/>
          <w:sz w:val="22"/>
          <w:szCs w:val="22"/>
          <w:u w:val="single"/>
        </w:rPr>
      </w:r>
    </w:p>
    <w:p>
      <w:pPr>
        <w:jc w:val="both"/>
        <w:rPr>
          <w:rFonts w:ascii="Times New Roman" w:hAnsi="Times New Roman" w:cs="Times New Roman"/>
          <w:b w:val="0"/>
          <w:bCs/>
          <w:i/>
          <w:highlight w:val="none"/>
          <w:u w:val="none"/>
        </w:rPr>
      </w:pP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- необходимо представить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форму №6 «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Согласие на обработку персональных данных»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согласно           п. 12 раздела 2 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 документации о закупке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  <w:u w:val="none"/>
        </w:rPr>
        <w:t xml:space="preserve">. 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b w:val="0"/>
          <w:bCs/>
          <w:i/>
          <w:sz w:val="22"/>
          <w:szCs w:val="22"/>
          <w:highlight w:val="none"/>
          <w:u w:val="none"/>
        </w:rPr>
      </w:r>
    </w:p>
    <w:p>
      <w:pPr>
        <w:jc w:val="both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eastAsia="Times New Roman" w:cs="Times New Roman"/>
          <w:b w:val="0"/>
          <w:bCs w:val="0"/>
          <w:i/>
          <w:iCs/>
          <w:sz w:val="22"/>
          <w:szCs w:val="22"/>
          <w:highlight w:val="none"/>
          <w:u w:val="none"/>
        </w:rPr>
        <w:t xml:space="preserve">При подготовке документов использовать формы, представленные в разделе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2"/>
          <w:szCs w:val="22"/>
          <w:lang w:val="en-US"/>
        </w:rPr>
        <w:t xml:space="preserve">III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 «ОБРАЗЦЫ ФОРМ ДЛЯ ЗАПОЛНЕНИЯ УЧАСТНИКАМИ ЗАКУПКИ» документации о закупки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z w:val="22"/>
          <w:szCs w:val="22"/>
          <w:highlight w:val="none"/>
          <w:u w:val="none"/>
        </w:rPr>
        <w:t xml:space="preserve">.</w:t>
      </w:r>
      <w:r>
        <w:rPr>
          <w:rFonts w:ascii="Times New Roman" w:hAnsi="Times New Roman" w:eastAsia="Times New Roman" w:cs="Times New Roman"/>
          <w:bCs/>
          <w:i/>
          <w:sz w:val="22"/>
          <w:szCs w:val="22"/>
        </w:rPr>
      </w:r>
      <w:r>
        <w:rPr>
          <w:rFonts w:ascii="Times New Roman" w:hAnsi="Times New Roman" w:eastAsia="Times New Roman" w:cs="Times New Roman"/>
          <w:bCs/>
          <w:i/>
          <w:sz w:val="22"/>
          <w:szCs w:val="22"/>
        </w:rPr>
      </w:r>
    </w:p>
    <w:p>
      <w:pPr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Cs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jc w:val="both"/>
        <w:rPr>
          <w:rFonts w:ascii="Times New Roman" w:hAnsi="Times New Roman" w:cs="Times New Roman"/>
          <w:b w:val="0"/>
          <w:bCs/>
          <w:i/>
          <w:highlight w:val="none"/>
          <w:u w:val="none"/>
        </w:rPr>
      </w:pP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- необходимо представить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форму №3 «Антикоррупционные обязательства» 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согласно п. 11 раздела 2 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 документации о закупке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  <w:u w:val="none"/>
        </w:rPr>
        <w:t xml:space="preserve">. </w:t>
      </w:r>
      <w:r>
        <w:rPr>
          <w:rFonts w:ascii="Times New Roman" w:hAnsi="Times New Roman" w:eastAsia="Times New Roman" w:cs="Times New Roman"/>
          <w:b w:val="0"/>
          <w:bCs/>
          <w:i/>
          <w:sz w:val="22"/>
          <w:szCs w:val="22"/>
          <w:highlight w:val="none"/>
          <w:u w:val="none"/>
        </w:rPr>
      </w:r>
      <w:r>
        <w:rPr>
          <w:rFonts w:ascii="Times New Roman" w:hAnsi="Times New Roman" w:eastAsia="Times New Roman" w:cs="Times New Roman"/>
          <w:b w:val="0"/>
          <w:bCs/>
          <w:i/>
          <w:sz w:val="22"/>
          <w:szCs w:val="22"/>
          <w:highlight w:val="none"/>
          <w:u w:val="none"/>
        </w:rPr>
      </w:r>
    </w:p>
    <w:p>
      <w:pPr>
        <w:jc w:val="both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eastAsia="Times New Roman" w:cs="Times New Roman"/>
          <w:b w:val="0"/>
          <w:bCs w:val="0"/>
          <w:i/>
          <w:iCs/>
          <w:sz w:val="22"/>
          <w:szCs w:val="22"/>
          <w:highlight w:val="none"/>
          <w:u w:val="none"/>
        </w:rPr>
        <w:t xml:space="preserve">При подготовке документов использовать формы, представленные в разделе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2"/>
          <w:szCs w:val="22"/>
          <w:lang w:val="en-US"/>
        </w:rPr>
        <w:t xml:space="preserve">III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 «ОБРАЗЦЫ ФОРМ ДЛЯ ЗАПОЛНЕНИЯ УЧАСТНИКАМИ ЗАКУПКИ» документации о закупки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z w:val="22"/>
          <w:szCs w:val="22"/>
          <w:highlight w:val="none"/>
          <w:u w:val="none"/>
        </w:rPr>
        <w:t xml:space="preserve">.</w:t>
      </w:r>
      <w:r>
        <w:rPr>
          <w:rFonts w:ascii="Times New Roman" w:hAnsi="Times New Roman" w:eastAsia="Times New Roman" w:cs="Times New Roman"/>
          <w:bCs/>
          <w:i/>
          <w:sz w:val="22"/>
          <w:szCs w:val="22"/>
        </w:rPr>
      </w:r>
      <w:r>
        <w:rPr>
          <w:rFonts w:ascii="Times New Roman" w:hAnsi="Times New Roman" w:eastAsia="Times New Roman" w:cs="Times New Roman"/>
          <w:bCs/>
          <w:i/>
          <w:sz w:val="22"/>
          <w:szCs w:val="22"/>
        </w:rPr>
      </w:r>
    </w:p>
    <w:p>
      <w:pPr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  <w:highlight w:val="none"/>
        </w:rPr>
      </w:r>
      <w:r>
        <w:rPr>
          <w:rFonts w:ascii="Times New Roman" w:hAnsi="Times New Roman" w:eastAsia="Times New Roman" w:cs="Times New Roman"/>
          <w:sz w:val="22"/>
          <w:szCs w:val="22"/>
          <w:highlight w:val="none"/>
        </w:rPr>
      </w:r>
    </w:p>
    <w:p>
      <w:pPr>
        <w:pStyle w:val="788"/>
        <w:ind w:left="37" w:hanging="3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- необходимо представить справку об испо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лнении налогоплательщиком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ф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орма которой утверждена Приказом ФНС России от 23.11.2022 № ЕД-7-8/1123@, выданная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согласно п. 6 раздела 2 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 документации о закупке. 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contextualSpacing/>
        <w:ind w:left="0" w:firstLine="0"/>
        <w:jc w:val="both"/>
        <w:rPr>
          <w:rFonts w:ascii="Times New Roman" w:hAnsi="Times New Roman" w:cs="Times New Roman"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2"/>
          <w:szCs w:val="22"/>
        </w:rPr>
        <w:t xml:space="preserve">Справка предоставляется в форме электронного документа (XML </w:t>
      </w:r>
      <w:r>
        <w:rPr>
          <w:rFonts w:ascii="Times New Roman" w:hAnsi="Times New Roman" w:eastAsia="Times New Roman" w:cs="Times New Roman"/>
          <w:color w:val="000000" w:themeColor="text1"/>
          <w:sz w:val="22"/>
          <w:szCs w:val="22"/>
        </w:rPr>
        <w:t xml:space="preserve">файл), подписанная усиленной квалифицированной электронной подписью</w:t>
      </w:r>
      <w:r>
        <w:rPr>
          <w:rFonts w:ascii="Times New Roman" w:hAnsi="Times New Roman" w:eastAsia="Times New Roman" w:cs="Times New Roman"/>
          <w:color w:val="000000" w:themeColor="text1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 w:themeColor="text1"/>
          <w:sz w:val="22"/>
          <w:szCs w:val="22"/>
        </w:rPr>
        <w:t xml:space="preserve">(предоставляется файл со следующим расширением:  *.sig, *.sgn, *.p7s)</w:t>
      </w:r>
      <w:r>
        <w:rPr>
          <w:rFonts w:ascii="Times New Roman" w:hAnsi="Times New Roman" w:eastAsia="Times New Roman" w:cs="Times New Roman"/>
          <w:color w:val="000000" w:themeColor="text1"/>
          <w:sz w:val="22"/>
          <w:szCs w:val="22"/>
        </w:rPr>
        <w:t xml:space="preserve">, позволяющей идентифицировать выдавший налоговый орган (владельца квалифицированного сертификата)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ИЛИ в виде электронного документа (цветная скан копия справки, выданная на бумажном носителе), которая подписывается руководителем (заместителем руководителя) налогового органа и заверяется печатью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sz w:val="22"/>
          <w:szCs w:val="22"/>
          <w:highlight w:val="none"/>
        </w:rPr>
      </w:r>
    </w:p>
    <w:p>
      <w:pPr>
        <w:contextualSpacing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contextualSpacing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Cs/>
          <w:sz w:val="22"/>
          <w:szCs w:val="22"/>
          <w:highlight w:val="none"/>
        </w:rPr>
      </w:r>
      <w:r>
        <w:rPr>
          <w:rFonts w:ascii="Times New Roman" w:hAnsi="Times New Roman" w:eastAsia="Times New Roman" w:cs="Times New Roman"/>
          <w:bCs/>
          <w:sz w:val="22"/>
          <w:szCs w:val="22"/>
          <w:highlight w:val="none"/>
        </w:rPr>
      </w:r>
    </w:p>
    <w:p>
      <w:pPr>
        <w:rPr>
          <w:rFonts w:ascii="Times New Roman" w:hAnsi="Times New Roman" w:cs="Times New Roman"/>
          <w:b/>
          <w:bCs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b/>
          <w:sz w:val="22"/>
          <w:szCs w:val="22"/>
        </w:rPr>
        <w:t xml:space="preserve">Коллективный участник в составе: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 ООО «Смарт-Энерго» (лидер), ООО «СТРОИТЕЛЬНАЯ КОМПАНИЯ «НОВЫЙ ДОМ» (участник)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: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</w:r>
    </w:p>
    <w:p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rPr>
          <w:rFonts w:ascii="Times New Roman" w:hAnsi="Times New Roman" w:cs="Times New Roman"/>
          <w:b/>
          <w:bCs/>
          <w:sz w:val="22"/>
          <w:szCs w:val="22"/>
          <w:highlight w:val="none"/>
          <w:u w:val="single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u w:val="single"/>
        </w:rPr>
      </w:r>
      <w:r>
        <w:rPr>
          <w:rFonts w:ascii="Times New Roman" w:hAnsi="Times New Roman" w:eastAsia="Times New Roman" w:cs="Times New Roman"/>
          <w:b/>
          <w:bCs/>
          <w:sz w:val="22"/>
          <w:szCs w:val="22"/>
          <w:u w:val="single"/>
        </w:rPr>
        <w:t xml:space="preserve">ООО «Смарт-Энерго» (лидер)</w:t>
      </w:r>
      <w:r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u w:val="single"/>
        </w:rPr>
        <w:t xml:space="preserve">:</w:t>
      </w:r>
      <w:r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u w:val="single"/>
        </w:rPr>
      </w:r>
    </w:p>
    <w:p>
      <w:pPr>
        <w:jc w:val="both"/>
        <w:rPr>
          <w:rFonts w:ascii="Times New Roman" w:hAnsi="Times New Roman" w:cs="Times New Roman"/>
          <w:b w:val="0"/>
          <w:bCs/>
          <w:i/>
          <w:highlight w:val="none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  <w:u w:val="none"/>
        </w:rPr>
        <w:t xml:space="preserve">-необходимо представить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форму №5 «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Справка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 цепочке собственников участника закупки, включая бенефициаров (в том числе конечных)»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  <w:u w:val="none"/>
        </w:rPr>
        <w:t xml:space="preserve">, 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согласно п. 10 раздела 2 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 документации о закупке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  <w:u w:val="none"/>
        </w:rPr>
        <w:t xml:space="preserve">. </w:t>
      </w:r>
      <w:r>
        <w:rPr>
          <w:rFonts w:ascii="Times New Roman" w:hAnsi="Times New Roman" w:eastAsia="Times New Roman" w:cs="Times New Roman"/>
          <w:b w:val="0"/>
          <w:bCs/>
          <w:i/>
          <w:sz w:val="22"/>
          <w:szCs w:val="22"/>
          <w:highlight w:val="none"/>
          <w:u w:val="none"/>
        </w:rPr>
      </w:r>
      <w:r>
        <w:rPr>
          <w:rFonts w:ascii="Times New Roman" w:hAnsi="Times New Roman" w:eastAsia="Times New Roman" w:cs="Times New Roman"/>
          <w:b w:val="0"/>
          <w:bCs/>
          <w:i/>
          <w:sz w:val="22"/>
          <w:szCs w:val="22"/>
          <w:highlight w:val="none"/>
          <w:u w:val="none"/>
        </w:rPr>
      </w:r>
    </w:p>
    <w:p>
      <w:pPr>
        <w:jc w:val="both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eastAsia="Times New Roman" w:cs="Times New Roman"/>
          <w:b w:val="0"/>
          <w:bCs w:val="0"/>
          <w:i/>
          <w:iCs/>
          <w:sz w:val="22"/>
          <w:szCs w:val="22"/>
          <w:highlight w:val="none"/>
          <w:u w:val="none"/>
        </w:rPr>
        <w:t xml:space="preserve">При подготовке документов использовать формы, представленные в разделе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2"/>
          <w:szCs w:val="22"/>
          <w:lang w:val="en-US"/>
        </w:rPr>
        <w:t xml:space="preserve">III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 «ОБРАЗЦЫ ФОРМ ДЛЯ ЗАПОЛНЕНИЯ УЧАСТНИКАМИ ЗАКУПКИ» документации о закупки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z w:val="22"/>
          <w:szCs w:val="22"/>
          <w:highlight w:val="none"/>
          <w:u w:val="none"/>
        </w:rPr>
        <w:t xml:space="preserve">.</w:t>
      </w:r>
      <w:r>
        <w:rPr>
          <w:rFonts w:ascii="Times New Roman" w:hAnsi="Times New Roman" w:eastAsia="Times New Roman" w:cs="Times New Roman"/>
          <w:bCs/>
          <w:i/>
          <w:sz w:val="22"/>
          <w:szCs w:val="22"/>
        </w:rPr>
      </w:r>
      <w:r>
        <w:rPr>
          <w:rFonts w:ascii="Times New Roman" w:hAnsi="Times New Roman" w:eastAsia="Times New Roman" w:cs="Times New Roman"/>
          <w:bCs/>
          <w:i/>
          <w:sz w:val="22"/>
          <w:szCs w:val="22"/>
        </w:rPr>
      </w:r>
    </w:p>
    <w:p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</w:p>
    <w:p>
      <w:pPr>
        <w:jc w:val="both"/>
        <w:rPr>
          <w:rFonts w:ascii="Times New Roman" w:hAnsi="Times New Roman" w:cs="Times New Roman"/>
          <w:b w:val="0"/>
          <w:bCs/>
          <w:i/>
          <w:highlight w:val="none"/>
          <w:u w:val="none"/>
        </w:rPr>
      </w:pP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- необходимо представить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форму №3 «Антикоррупционные обязательства» 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согласно п. 11 раздела 2 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 документации о закупке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  <w:u w:val="none"/>
        </w:rPr>
        <w:t xml:space="preserve">. </w:t>
      </w:r>
      <w:r>
        <w:rPr>
          <w:rFonts w:ascii="Times New Roman" w:hAnsi="Times New Roman" w:eastAsia="Times New Roman" w:cs="Times New Roman"/>
          <w:b w:val="0"/>
          <w:bCs/>
          <w:i/>
          <w:sz w:val="22"/>
          <w:szCs w:val="22"/>
          <w:highlight w:val="none"/>
          <w:u w:val="none"/>
        </w:rPr>
      </w:r>
      <w:r>
        <w:rPr>
          <w:rFonts w:ascii="Times New Roman" w:hAnsi="Times New Roman" w:eastAsia="Times New Roman" w:cs="Times New Roman"/>
          <w:b w:val="0"/>
          <w:bCs/>
          <w:i/>
          <w:sz w:val="22"/>
          <w:szCs w:val="22"/>
          <w:highlight w:val="none"/>
          <w:u w:val="none"/>
        </w:rPr>
      </w:r>
    </w:p>
    <w:p>
      <w:pPr>
        <w:jc w:val="both"/>
        <w:rPr>
          <w:rFonts w:ascii="Times New Roman" w:hAnsi="Times New Roman" w:eastAsia="Times New Roman" w:cs="Times New Roman"/>
          <w:bCs/>
          <w:i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i/>
          <w:iCs/>
          <w:sz w:val="22"/>
          <w:szCs w:val="22"/>
          <w:highlight w:val="none"/>
          <w:u w:val="none"/>
        </w:rPr>
        <w:t xml:space="preserve">При подготовке документов использовать формы, представленные в разделе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2"/>
          <w:szCs w:val="22"/>
          <w:lang w:val="en-US"/>
        </w:rPr>
        <w:t xml:space="preserve">III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 «ОБРАЗЦЫ ФОРМ ДЛЯ ЗАПОЛНЕНИЯ УЧАСТНИКАМИ ЗАКУПКИ» документации о закупки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z w:val="22"/>
          <w:szCs w:val="22"/>
          <w:highlight w:val="none"/>
          <w:u w:val="none"/>
        </w:rPr>
        <w:t xml:space="preserve">.</w:t>
      </w:r>
      <w:r>
        <w:rPr>
          <w:rFonts w:ascii="Times New Roman" w:hAnsi="Times New Roman" w:eastAsia="Times New Roman" w:cs="Times New Roman"/>
          <w:bCs/>
          <w:i/>
          <w:sz w:val="22"/>
          <w:szCs w:val="22"/>
        </w:rPr>
      </w:r>
      <w:r>
        <w:rPr>
          <w:rFonts w:ascii="Times New Roman" w:hAnsi="Times New Roman" w:eastAsia="Times New Roman" w:cs="Times New Roman"/>
          <w:bCs/>
          <w:i/>
          <w:sz w:val="22"/>
          <w:szCs w:val="22"/>
        </w:rPr>
      </w:r>
    </w:p>
    <w:p>
      <w:pPr>
        <w:jc w:val="both"/>
        <w:rPr>
          <w:rFonts w:ascii="Times New Roman" w:hAnsi="Times New Roman" w:cs="Times New Roman"/>
          <w:bCs/>
          <w:i/>
          <w:sz w:val="22"/>
          <w:szCs w:val="22"/>
        </w:rPr>
      </w:pPr>
      <w:r>
        <w:rPr>
          <w:rFonts w:ascii="Times New Roman" w:hAnsi="Times New Roman" w:cs="Times New Roman"/>
          <w:bCs/>
          <w:i/>
          <w:sz w:val="22"/>
          <w:szCs w:val="22"/>
        </w:rPr>
      </w:r>
      <w:r>
        <w:rPr>
          <w:rFonts w:ascii="Times New Roman" w:hAnsi="Times New Roman" w:cs="Times New Roman"/>
          <w:bCs/>
          <w:i/>
          <w:sz w:val="22"/>
          <w:szCs w:val="22"/>
        </w:rPr>
      </w:r>
    </w:p>
    <w:p>
      <w:pPr>
        <w:jc w:val="both"/>
        <w:rPr>
          <w:rFonts w:ascii="Times New Roman" w:hAnsi="Times New Roman" w:cs="Times New Roman"/>
          <w:b w:val="0"/>
          <w:bCs/>
          <w:i/>
          <w:sz w:val="22"/>
          <w:szCs w:val="22"/>
          <w:highlight w:val="none"/>
          <w:u w:val="none"/>
        </w:rPr>
      </w:pP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- необходимо подтвердить готовность выполнения работ (</w:t>
      </w:r>
      <w:r>
        <w:t xml:space="preserve">Срок действия рамочного соглашения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) в указанные сроки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29.04.2025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-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30.12.2026</w:t>
      </w:r>
      <w:r/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), 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согласно п. 2 раздела 1 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 документации о закупке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  <w:u w:val="none"/>
        </w:rPr>
        <w:t xml:space="preserve">. </w:t>
      </w:r>
      <w:r>
        <w:rPr>
          <w:rFonts w:ascii="Times New Roman" w:hAnsi="Times New Roman" w:cs="Times New Roman"/>
          <w:b w:val="0"/>
          <w:bCs/>
          <w:i/>
          <w:sz w:val="22"/>
          <w:szCs w:val="22"/>
          <w:highlight w:val="none"/>
          <w:u w:val="none"/>
        </w:rPr>
        <w:t xml:space="preserve">Форма №2 «Письмо о подаче оферты».</w:t>
      </w:r>
      <w:r>
        <w:rPr>
          <w:rFonts w:ascii="Times New Roman" w:hAnsi="Times New Roman" w:cs="Times New Roman"/>
          <w:b w:val="0"/>
          <w:bCs/>
          <w:i/>
          <w:sz w:val="22"/>
          <w:szCs w:val="22"/>
          <w:highlight w:val="none"/>
          <w:u w:val="none"/>
        </w:rPr>
      </w:r>
    </w:p>
    <w:p>
      <w:pPr>
        <w:jc w:val="both"/>
        <w:rPr>
          <w:rFonts w:ascii="Times New Roman" w:hAnsi="Times New Roman" w:cs="Times New Roman"/>
          <w:bCs/>
          <w:i/>
          <w:sz w:val="22"/>
          <w:szCs w:val="22"/>
        </w:rPr>
      </w:pPr>
      <w:r>
        <w:rPr>
          <w:rFonts w:ascii="Times New Roman" w:hAnsi="Times New Roman" w:cs="Times New Roman"/>
          <w:bCs/>
          <w:i/>
          <w:sz w:val="22"/>
          <w:szCs w:val="22"/>
        </w:rPr>
      </w:r>
      <w:r>
        <w:rPr>
          <w:rFonts w:ascii="Times New Roman" w:hAnsi="Times New Roman" w:cs="Times New Roman"/>
          <w:bCs/>
          <w:i/>
          <w:sz w:val="22"/>
          <w:szCs w:val="22"/>
        </w:rPr>
      </w:r>
      <w:r>
        <w:rPr>
          <w:rFonts w:ascii="Times New Roman" w:hAnsi="Times New Roman" w:cs="Times New Roman"/>
          <w:bCs/>
          <w:i/>
          <w:sz w:val="22"/>
          <w:szCs w:val="22"/>
        </w:rPr>
      </w:r>
    </w:p>
    <w:p>
      <w:pPr>
        <w:contextualSpacing/>
        <w:jc w:val="both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u w:val="single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u w:val="single"/>
        </w:rPr>
      </w:r>
      <w:r>
        <w:rPr>
          <w:rFonts w:ascii="Times New Roman" w:hAnsi="Times New Roman" w:eastAsia="Times New Roman" w:cs="Times New Roman"/>
          <w:b/>
          <w:bCs/>
          <w:sz w:val="22"/>
          <w:szCs w:val="22"/>
          <w:u w:val="single"/>
        </w:rPr>
        <w:t xml:space="preserve">ООО «СТРОИТЕЛЬНАЯ КОМПАНИЯ «НОВЫЙ ДОМ» (участник)</w:t>
      </w:r>
      <w:r>
        <w:rPr>
          <w:rFonts w:ascii="Times New Roman" w:hAnsi="Times New Roman" w:eastAsia="Times New Roman" w:cs="Times New Roman"/>
          <w:b/>
          <w:bCs/>
          <w:sz w:val="22"/>
          <w:szCs w:val="22"/>
          <w:u w:val="single"/>
        </w:rPr>
        <w:t xml:space="preserve">:</w:t>
      </w:r>
      <w:r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u w:val="single"/>
        </w:rPr>
      </w:r>
      <w:r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u w:val="single"/>
        </w:rPr>
      </w:r>
    </w:p>
    <w:p>
      <w:pPr>
        <w:jc w:val="both"/>
        <w:rPr>
          <w:rFonts w:ascii="Times New Roman" w:hAnsi="Times New Roman" w:cs="Times New Roman"/>
          <w:b w:val="0"/>
          <w:bCs/>
          <w:i/>
          <w:highlight w:val="none"/>
          <w:u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  <w:u w:val="none"/>
        </w:rPr>
        <w:t xml:space="preserve">-необходимо представить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форму №5 «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Справка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о цепочке собственников участника закупки, включая бенефициаров (в том числе конечных)»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  <w:u w:val="none"/>
        </w:rPr>
        <w:t xml:space="preserve">, 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согласно п. 10 раздела 2 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 документации о закупке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  <w:u w:val="none"/>
        </w:rPr>
        <w:t xml:space="preserve">. </w:t>
      </w:r>
      <w:r>
        <w:rPr>
          <w:rFonts w:ascii="Times New Roman" w:hAnsi="Times New Roman" w:eastAsia="Times New Roman" w:cs="Times New Roman"/>
          <w:b w:val="0"/>
          <w:bCs/>
          <w:i/>
          <w:sz w:val="22"/>
          <w:szCs w:val="22"/>
          <w:highlight w:val="none"/>
          <w:u w:val="none"/>
        </w:rPr>
      </w:r>
      <w:r>
        <w:rPr>
          <w:rFonts w:ascii="Times New Roman" w:hAnsi="Times New Roman" w:eastAsia="Times New Roman" w:cs="Times New Roman"/>
          <w:b w:val="0"/>
          <w:bCs/>
          <w:i/>
          <w:sz w:val="22"/>
          <w:szCs w:val="22"/>
          <w:highlight w:val="none"/>
          <w:u w:val="none"/>
        </w:rPr>
      </w:r>
    </w:p>
    <w:p>
      <w:pPr>
        <w:contextualSpacing/>
        <w:jc w:val="both"/>
        <w:rPr>
          <w:rFonts w:ascii="Times New Roman" w:hAnsi="Times New Roman" w:cs="Times New Roman"/>
          <w:b/>
          <w:bCs/>
          <w:sz w:val="22"/>
          <w:szCs w:val="22"/>
          <w:highlight w:val="none"/>
          <w:u w:val="single"/>
        </w:rPr>
      </w:pPr>
      <w:r>
        <w:rPr>
          <w:rFonts w:ascii="Times New Roman" w:hAnsi="Times New Roman" w:eastAsia="Times New Roman" w:cs="Times New Roman"/>
          <w:b w:val="0"/>
          <w:bCs w:val="0"/>
          <w:i/>
          <w:iCs/>
          <w:sz w:val="22"/>
          <w:szCs w:val="22"/>
          <w:highlight w:val="none"/>
          <w:u w:val="none"/>
        </w:rPr>
        <w:t xml:space="preserve">При подготовке документов использовать формы, представленные в разделе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2"/>
          <w:szCs w:val="22"/>
          <w:lang w:val="en-US"/>
        </w:rPr>
        <w:t xml:space="preserve">III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 «ОБРАЗЦЫ ФОРМ ДЛЯ ЗАПОЛНЕНИЯ УЧАСТНИКАМИ ЗАКУПКИ» документации о закупки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z w:val="22"/>
          <w:szCs w:val="22"/>
          <w:highlight w:val="none"/>
          <w:u w:val="none"/>
        </w:rPr>
        <w:t xml:space="preserve">.</w:t>
      </w:r>
      <w:r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u w:val="single"/>
        </w:rPr>
      </w:r>
      <w:r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u w:val="single"/>
        </w:rPr>
      </w:r>
    </w:p>
    <w:p>
      <w:pPr>
        <w:contextualSpacing/>
        <w:jc w:val="both"/>
        <w:rPr>
          <w:rFonts w:ascii="Times New Roman" w:hAnsi="Times New Roman" w:cs="Times New Roman"/>
          <w:b/>
          <w:bCs/>
          <w:sz w:val="22"/>
          <w:szCs w:val="22"/>
          <w:highlight w:val="none"/>
          <w:u w:val="single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u w:val="single"/>
        </w:rPr>
      </w:r>
      <w:r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u w:val="single"/>
        </w:rPr>
      </w:r>
    </w:p>
    <w:p>
      <w:pPr>
        <w:jc w:val="both"/>
        <w:rPr>
          <w:rFonts w:ascii="Times New Roman" w:hAnsi="Times New Roman" w:cs="Times New Roman"/>
          <w:b w:val="0"/>
          <w:bCs/>
          <w:i/>
          <w:highlight w:val="none"/>
          <w:u w:val="none"/>
        </w:rPr>
      </w:pP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- необходимо представить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форму №3 «Антикоррупционные обязательства» 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согласно п. 11 раздела 2 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 документации о закупке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  <w:u w:val="none"/>
        </w:rPr>
        <w:t xml:space="preserve">. </w:t>
      </w:r>
      <w:r>
        <w:rPr>
          <w:rFonts w:ascii="Times New Roman" w:hAnsi="Times New Roman" w:eastAsia="Times New Roman" w:cs="Times New Roman"/>
          <w:b w:val="0"/>
          <w:bCs/>
          <w:i/>
          <w:sz w:val="22"/>
          <w:szCs w:val="22"/>
          <w:highlight w:val="none"/>
          <w:u w:val="none"/>
        </w:rPr>
      </w:r>
      <w:r>
        <w:rPr>
          <w:rFonts w:ascii="Times New Roman" w:hAnsi="Times New Roman" w:eastAsia="Times New Roman" w:cs="Times New Roman"/>
          <w:b w:val="0"/>
          <w:bCs/>
          <w:i/>
          <w:sz w:val="22"/>
          <w:szCs w:val="22"/>
          <w:highlight w:val="none"/>
          <w:u w:val="none"/>
        </w:rPr>
      </w:r>
    </w:p>
    <w:p>
      <w:pPr>
        <w:jc w:val="both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eastAsia="Times New Roman" w:cs="Times New Roman"/>
          <w:b w:val="0"/>
          <w:bCs w:val="0"/>
          <w:i/>
          <w:iCs/>
          <w:sz w:val="22"/>
          <w:szCs w:val="22"/>
          <w:highlight w:val="none"/>
          <w:u w:val="none"/>
        </w:rPr>
        <w:t xml:space="preserve">При подготовке документов использовать формы, представленные в разделе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2"/>
          <w:szCs w:val="22"/>
          <w:lang w:val="en-US"/>
        </w:rPr>
        <w:t xml:space="preserve">III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 «ОБРАЗЦЫ ФОРМ ДЛЯ ЗАПОЛНЕНИЯ УЧАСТНИКАМИ ЗАКУПКИ» документации о закупки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z w:val="22"/>
          <w:szCs w:val="22"/>
          <w:highlight w:val="none"/>
          <w:u w:val="none"/>
        </w:rPr>
        <w:t xml:space="preserve">.</w:t>
      </w:r>
      <w:r>
        <w:rPr>
          <w:rFonts w:ascii="Times New Roman" w:hAnsi="Times New Roman" w:eastAsia="Times New Roman" w:cs="Times New Roman"/>
          <w:bCs/>
          <w:i/>
          <w:sz w:val="22"/>
          <w:szCs w:val="22"/>
        </w:rPr>
      </w:r>
      <w:r>
        <w:rPr>
          <w:rFonts w:ascii="Times New Roman" w:hAnsi="Times New Roman" w:eastAsia="Times New Roman" w:cs="Times New Roman"/>
          <w:bCs/>
          <w:i/>
          <w:sz w:val="22"/>
          <w:szCs w:val="22"/>
        </w:rPr>
      </w:r>
    </w:p>
    <w:p>
      <w:pPr>
        <w:contextualSpacing/>
        <w:jc w:val="both"/>
        <w:rPr>
          <w:rFonts w:ascii="Times New Roman" w:hAnsi="Times New Roman" w:cs="Times New Roman"/>
          <w:b/>
          <w:bCs/>
          <w:sz w:val="22"/>
          <w:szCs w:val="22"/>
          <w:highlight w:val="none"/>
          <w:u w:val="single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u w:val="single"/>
        </w:rPr>
      </w:r>
      <w:r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u w:val="single"/>
        </w:rPr>
      </w:r>
    </w:p>
    <w:p>
      <w:pPr>
        <w:jc w:val="both"/>
        <w:rPr>
          <w:rFonts w:ascii="Times New Roman" w:hAnsi="Times New Roman" w:cs="Times New Roman"/>
          <w:b w:val="0"/>
          <w:bCs/>
          <w:i/>
          <w:highlight w:val="none"/>
          <w:u w:val="none"/>
        </w:rPr>
      </w:pP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- необходимо представить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форму №6 «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Согласие на обработку персональных данных»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согласно п. 12 раздела 2 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 документации о закупке</w:t>
      </w:r>
      <w:r>
        <w:rPr>
          <w:rFonts w:ascii="Times New Roman" w:hAnsi="Times New Roman" w:eastAsia="Times New Roman" w:cs="Times New Roman"/>
          <w:b w:val="0"/>
          <w:bCs w:val="0"/>
          <w:sz w:val="22"/>
          <w:szCs w:val="22"/>
          <w:highlight w:val="none"/>
          <w:u w:val="none"/>
        </w:rPr>
        <w:t xml:space="preserve">. </w:t>
      </w:r>
      <w:r>
        <w:rPr>
          <w:rFonts w:ascii="Times New Roman" w:hAnsi="Times New Roman" w:eastAsia="Times New Roman" w:cs="Times New Roman"/>
          <w:b w:val="0"/>
          <w:bCs/>
          <w:i/>
          <w:sz w:val="22"/>
          <w:szCs w:val="22"/>
          <w:highlight w:val="none"/>
          <w:u w:val="none"/>
        </w:rPr>
      </w:r>
      <w:r>
        <w:rPr>
          <w:rFonts w:ascii="Times New Roman" w:hAnsi="Times New Roman" w:eastAsia="Times New Roman" w:cs="Times New Roman"/>
          <w:b w:val="0"/>
          <w:bCs/>
          <w:i/>
          <w:sz w:val="22"/>
          <w:szCs w:val="22"/>
          <w:highlight w:val="none"/>
          <w:u w:val="none"/>
        </w:rPr>
      </w:r>
    </w:p>
    <w:p>
      <w:pPr>
        <w:jc w:val="both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eastAsia="Times New Roman" w:cs="Times New Roman"/>
          <w:b w:val="0"/>
          <w:bCs w:val="0"/>
          <w:i/>
          <w:iCs/>
          <w:sz w:val="22"/>
          <w:szCs w:val="22"/>
          <w:highlight w:val="none"/>
          <w:u w:val="none"/>
        </w:rPr>
        <w:t xml:space="preserve">При подготовке документов использовать формы, представленные в разделе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2"/>
          <w:szCs w:val="22"/>
          <w:lang w:val="en-US"/>
        </w:rPr>
        <w:t xml:space="preserve">III</w:t>
      </w:r>
      <w:r>
        <w:rPr>
          <w:rFonts w:ascii="Times New Roman" w:hAnsi="Times New Roman" w:eastAsia="Times New Roman" w:cs="Times New Roman"/>
          <w:i/>
          <w:iCs/>
          <w:sz w:val="22"/>
          <w:szCs w:val="22"/>
        </w:rPr>
        <w:t xml:space="preserve"> «ОБРАЗЦЫ ФОРМ ДЛЯ ЗАПОЛНЕНИЯ УЧАСТНИКАМИ ЗАКУПКИ» документации о закупки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z w:val="22"/>
          <w:szCs w:val="22"/>
          <w:highlight w:val="none"/>
          <w:u w:val="none"/>
        </w:rPr>
        <w:t xml:space="preserve">.</w:t>
      </w:r>
      <w:r>
        <w:rPr>
          <w:rFonts w:ascii="Times New Roman" w:hAnsi="Times New Roman" w:eastAsia="Times New Roman" w:cs="Times New Roman"/>
          <w:bCs/>
          <w:i/>
          <w:sz w:val="22"/>
          <w:szCs w:val="22"/>
        </w:rPr>
      </w:r>
      <w:r>
        <w:rPr>
          <w:rFonts w:ascii="Times New Roman" w:hAnsi="Times New Roman" w:eastAsia="Times New Roman" w:cs="Times New Roman"/>
          <w:bCs/>
          <w:i/>
          <w:sz w:val="22"/>
          <w:szCs w:val="22"/>
        </w:rPr>
      </w:r>
    </w:p>
    <w:p>
      <w:pPr>
        <w:contextualSpacing/>
        <w:jc w:val="both"/>
        <w:rPr>
          <w:rFonts w:ascii="Times New Roman" w:hAnsi="Times New Roman" w:cs="Times New Roman"/>
          <w:b/>
          <w:bCs/>
          <w:sz w:val="22"/>
          <w:szCs w:val="22"/>
          <w:highlight w:val="none"/>
          <w:u w:val="single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u w:val="single"/>
        </w:rPr>
      </w:r>
      <w:r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u w:val="single"/>
        </w:rPr>
      </w:r>
    </w:p>
    <w:p>
      <w:pPr>
        <w:contextualSpacing/>
        <w:jc w:val="both"/>
        <w:rPr>
          <w:rFonts w:ascii="Times New Roman" w:hAnsi="Times New Roman" w:cs="Times New Roman"/>
          <w:b/>
          <w:bCs/>
          <w:sz w:val="22"/>
          <w:szCs w:val="22"/>
          <w:highlight w:val="none"/>
          <w:u w:val="single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u w:val="single"/>
        </w:rPr>
      </w:r>
      <w:r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u w:val="single"/>
        </w:rPr>
      </w:r>
    </w:p>
    <w:p>
      <w:pPr>
        <w:pStyle w:val="948"/>
        <w:numPr>
          <w:ilvl w:val="0"/>
          <w:numId w:val="38"/>
        </w:numPr>
        <w:contextualSpacing/>
        <w:ind w:left="0" w:firstLine="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Установить срок предоставления у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частниками вышеуказанной информации и документов до 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09-00 ч. «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07» 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апреля 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2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025 г. путем направления таким у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частникам запроса. Участники должны представить вышеуказанную информацию через ЭТП 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begin"/>
      </w:r>
      <w:r>
        <w:rPr>
          <w:rFonts w:ascii="Times New Roman" w:hAnsi="Times New Roman" w:eastAsia="Times New Roman" w:cs="Times New Roman"/>
          <w:sz w:val="22"/>
          <w:szCs w:val="22"/>
        </w:rPr>
        <w:instrText xml:space="preserve"> HYPERLINK "https://tender.lot-online.ru/" </w:instrTex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separate"/>
      </w:r>
      <w:r>
        <w:rPr>
          <w:rStyle w:val="957"/>
          <w:rFonts w:ascii="Times New Roman" w:hAnsi="Times New Roman" w:eastAsia="Times New Roman" w:cs="Times New Roman"/>
          <w:color w:val="000000"/>
          <w:sz w:val="22"/>
          <w:szCs w:val="22"/>
        </w:rPr>
        <w:t xml:space="preserve">https://tender.lot-online.ru/</w:t>
      </w:r>
      <w:r>
        <w:rPr>
          <w:rFonts w:ascii="Times New Roman" w:hAnsi="Times New Roman" w:eastAsia="Times New Roman" w:cs="Times New Roman"/>
          <w:sz w:val="22"/>
          <w:szCs w:val="22"/>
        </w:rPr>
        <w:fldChar w:fldCharType="end"/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bCs/>
          <w:sz w:val="22"/>
          <w:szCs w:val="22"/>
        </w:rPr>
      </w:r>
      <w:r>
        <w:rPr>
          <w:rFonts w:ascii="Times New Roman" w:hAnsi="Times New Roman" w:cs="Times New Roman"/>
          <w:bCs/>
          <w:sz w:val="22"/>
          <w:szCs w:val="22"/>
        </w:rPr>
      </w:r>
    </w:p>
    <w:p>
      <w:pPr>
        <w:pStyle w:val="948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Cs/>
          <w:sz w:val="22"/>
          <w:szCs w:val="22"/>
        </w:rPr>
      </w:r>
      <w:r>
        <w:rPr>
          <w:rFonts w:ascii="Times New Roman" w:hAnsi="Times New Roman" w:eastAsia="Times New Roman" w:cs="Times New Roman"/>
          <w:bCs/>
          <w:sz w:val="22"/>
          <w:szCs w:val="22"/>
        </w:rPr>
      </w:r>
      <w:r>
        <w:rPr>
          <w:rFonts w:ascii="Times New Roman" w:hAnsi="Times New Roman" w:cs="Times New Roman"/>
          <w:bCs/>
          <w:sz w:val="22"/>
          <w:szCs w:val="22"/>
        </w:rPr>
      </w:r>
    </w:p>
    <w:p>
      <w:pPr>
        <w:pStyle w:val="948"/>
        <w:numPr>
          <w:ilvl w:val="0"/>
          <w:numId w:val="38"/>
        </w:numPr>
        <w:ind w:left="0" w:firstLine="0"/>
        <w:jc w:val="both"/>
        <w:rPr>
          <w:rFonts w:ascii="Times New Roman" w:hAnsi="Times New Roman" w:cs="Times New Roman"/>
          <w:iCs/>
          <w:sz w:val="22"/>
          <w:szCs w:val="22"/>
        </w:rPr>
      </w:pP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Продлить срок подведения итогов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конкурентного предварительного отбора до 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10.04.2025</w:t>
      </w:r>
      <w:r>
        <w:rPr>
          <w:rFonts w:ascii="Times New Roman" w:hAnsi="Times New Roman" w:eastAsia="Times New Roman" w:cs="Times New Roman"/>
          <w:bCs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iCs/>
          <w:sz w:val="22"/>
          <w:szCs w:val="22"/>
        </w:rPr>
      </w:r>
      <w:r>
        <w:rPr>
          <w:rFonts w:ascii="Times New Roman" w:hAnsi="Times New Roman" w:cs="Times New Roman"/>
          <w:iCs/>
          <w:sz w:val="22"/>
          <w:szCs w:val="22"/>
        </w:rPr>
      </w:r>
    </w:p>
    <w:p>
      <w:pPr>
        <w:pStyle w:val="948"/>
        <w:ind w:left="142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Cs/>
          <w:sz w:val="24"/>
          <w:szCs w:val="24"/>
        </w:rPr>
      </w:r>
      <w:r>
        <w:rPr>
          <w:rFonts w:ascii="Times New Roman" w:hAnsi="Times New Roman" w:cs="Times New Roman"/>
          <w:iCs/>
          <w:sz w:val="24"/>
          <w:szCs w:val="24"/>
        </w:rPr>
      </w:r>
    </w:p>
    <w:p>
      <w:pPr>
        <w:pStyle w:val="948"/>
        <w:ind w:left="142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Cs/>
          <w:sz w:val="24"/>
          <w:szCs w:val="24"/>
        </w:rPr>
      </w:r>
      <w:r>
        <w:rPr>
          <w:rFonts w:ascii="Times New Roman" w:hAnsi="Times New Roman" w:eastAsia="Times New Roman" w:cs="Times New Roman"/>
          <w:iCs/>
          <w:sz w:val="24"/>
          <w:szCs w:val="24"/>
        </w:rPr>
      </w:r>
      <w:r>
        <w:rPr>
          <w:rFonts w:ascii="Times New Roman" w:hAnsi="Times New Roman" w:cs="Times New Roman"/>
          <w:iCs/>
          <w:sz w:val="24"/>
          <w:szCs w:val="24"/>
        </w:rPr>
      </w:r>
    </w:p>
    <w:p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142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142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142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142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142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948"/>
        <w:ind w:left="142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Cs/>
          <w:sz w:val="24"/>
          <w:szCs w:val="24"/>
        </w:rPr>
        <w:t xml:space="preserve">Результаты голосования:</w:t>
      </w:r>
      <w:r>
        <w:rPr>
          <w:rFonts w:ascii="Times New Roman" w:hAnsi="Times New Roman" w:eastAsia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«За» - ____ членов комиссии;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«Против» - ____ членов комиссии; 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948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«Воздержался» - ____ членов комиссии; «Отсутствовало» - ____ членов комиссии.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948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948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948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948"/>
        <w:ind w:left="142"/>
        <w:jc w:val="both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Подписи членов Закупочной комиссии: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0444" w:type="dxa"/>
        <w:jc w:val="center"/>
        <w:tblInd w:w="-176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02"/>
        <w:gridCol w:w="1418"/>
        <w:gridCol w:w="1559"/>
        <w:gridCol w:w="2126"/>
        <w:gridCol w:w="3639"/>
      </w:tblGrid>
      <w:tr>
        <w:tblPrEx/>
        <w:trPr>
          <w:trHeight w:val="8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48"/>
              <w:ind w:left="404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48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За/Против/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948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Возд./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948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Отсутст.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48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Подпись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48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8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1309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48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Председатель комиссии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48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48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48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Бечик С.Е.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84"/>
              <w:ind w:firstLine="0"/>
              <w:spacing w:after="0" w:line="240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Исполняющий обязанности начальника департамента логистики и МТО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84"/>
              <w:ind w:firstLine="0"/>
              <w:spacing w:after="0" w:line="240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ПАО «Россети Ленэнерго»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096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48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председателя комиссии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48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48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48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Захаров А.В.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84"/>
              <w:ind w:firstLine="0"/>
              <w:spacing w:after="0" w:line="240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по безопасности - начальник департамента безопасности ПАО «Россети Ленэнерго»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19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pStyle w:val="948"/>
              <w:ind w:left="181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Члены комиссии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48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48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48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Гаас О.А.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84"/>
              <w:ind w:firstLine="0"/>
              <w:spacing w:after="0" w:line="240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Исполняющий обязанности директора по финансам – начальника департамента финансов ПАО «Россети Ленэнерго»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00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pPr>
              <w:pStyle w:val="948"/>
              <w:ind w:left="181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48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48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84"/>
              <w:ind w:left="40" w:firstLine="0"/>
              <w:jc w:val="center"/>
              <w:spacing w:after="0" w:line="240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Чумак Ю.В.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84"/>
              <w:ind w:left="40" w:firstLine="0"/>
              <w:spacing w:after="0" w:line="240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отдела антикоррупционных комплаенс-процедур ПАО «Россети Ленэнерго»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03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pPr>
              <w:pStyle w:val="948"/>
              <w:ind w:left="181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48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48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48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Подольский В.А.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отдела правовой экспертизы </w:t>
              <w:br/>
              <w:t xml:space="preserve">ПАО «Россети Ленэнерго»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48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48"/>
              <w:ind w:left="181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48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48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48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Батанов П.В.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главного инженера </w:t>
              <w:br/>
              <w:t xml:space="preserve">по высоковольтным сетям – начальник департамента высоковольтных сетей ПАО «Россети Ленэнерго»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97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48"/>
              <w:ind w:left="181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48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48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48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Сафонов А.М.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тендерно-договорного отдела управления строительства и реконструкции объектов распределительной сети департамента капитального строительства ПАО «Россети Ленэнерго»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08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48"/>
              <w:ind w:left="181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48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48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48"/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Краев Э.В.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филиала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948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ПАО «Россети Ленэнерго» «ЮЭС»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9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48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Секретарь комиссии (без права голоса)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48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48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48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Степанова Т.А.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48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Главный специалист отдела подготовки и проведения конкурсов ПАО «Россети Ленэнерго»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</w:tbl>
    <w:p>
      <w:r/>
      <w:r/>
    </w:p>
    <w:sectPr>
      <w:footerReference w:type="default" r:id="rId9"/>
      <w:footnotePr/>
      <w:endnotePr/>
      <w:type w:val="nextPage"/>
      <w:pgSz w:w="11906" w:h="16838" w:orient="portrait"/>
      <w:pgMar w:top="567" w:right="707" w:bottom="709" w:left="992" w:header="284" w:footer="42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 CYR">
    <w:panose1 w:val="02020603050405020304"/>
  </w:font>
  <w:font w:name="Tahoma">
    <w:panose1 w:val="020B0604030504040204"/>
  </w:font>
  <w:font w:name="Times New Roman">
    <w:panose1 w:val="02020603050405020304"/>
  </w:font>
  <w:font w:name="Cambria">
    <w:panose1 w:val="02040503050406030204"/>
  </w:font>
  <w:font w:name="Arial Unicode MS">
    <w:panose1 w:val="020B06040202020202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0"/>
      <w:jc w:val="center"/>
      <w:widowControl w:val="off"/>
      <w:tabs>
        <w:tab w:val="num" w:pos="1418" w:leader="none"/>
      </w:tabs>
      <w:rPr>
        <w:bCs/>
        <w:sz w:val="16"/>
        <w:szCs w:val="16"/>
      </w:rPr>
    </w:pPr>
    <w:r>
      <w:rPr>
        <w:bCs/>
        <w:sz w:val="16"/>
        <w:szCs w:val="16"/>
      </w:rPr>
      <w:t xml:space="preserve">Протокол </w:t>
    </w:r>
    <w:r>
      <w:rPr>
        <w:bCs/>
        <w:sz w:val="16"/>
        <w:szCs w:val="16"/>
      </w:rPr>
      <w:t xml:space="preserve">№</w:t>
    </w:r>
    <w:r>
      <w:rPr>
        <w:bCs/>
        <w:sz w:val="16"/>
        <w:szCs w:val="16"/>
      </w:rPr>
      <w:t xml:space="preserve"> 251158-2</w:t>
    </w:r>
    <w:r>
      <w:rPr>
        <w:bCs/>
        <w:sz w:val="16"/>
        <w:szCs w:val="16"/>
      </w:rPr>
    </w:r>
    <w:r>
      <w:rPr>
        <w:bCs/>
        <w:sz w:val="16"/>
        <w:szCs w:val="16"/>
      </w:rPr>
    </w:r>
  </w:p>
  <w:p>
    <w:pPr>
      <w:pStyle w:val="950"/>
      <w:jc w:val="center"/>
      <w:widowControl w:val="off"/>
      <w:tabs>
        <w:tab w:val="num" w:pos="1418" w:leader="none"/>
      </w:tabs>
      <w:rPr>
        <w:bCs/>
        <w:sz w:val="16"/>
        <w:szCs w:val="16"/>
      </w:rPr>
    </w:pPr>
    <w:r>
      <w:rPr>
        <w:bCs/>
        <w:sz w:val="16"/>
        <w:szCs w:val="16"/>
      </w:rPr>
      <w:t xml:space="preserve">страница </w:t>
    </w:r>
    <w:r>
      <w:rPr>
        <w:bCs/>
        <w:sz w:val="16"/>
        <w:szCs w:val="16"/>
      </w:rPr>
      <w:fldChar w:fldCharType="begin"/>
    </w:r>
    <w:r>
      <w:rPr>
        <w:bCs/>
        <w:sz w:val="16"/>
        <w:szCs w:val="16"/>
      </w:rPr>
      <w:instrText xml:space="preserve">PAGE</w:instrText>
    </w:r>
    <w:r>
      <w:rPr>
        <w:bCs/>
        <w:sz w:val="16"/>
        <w:szCs w:val="16"/>
      </w:rPr>
      <w:fldChar w:fldCharType="separate"/>
    </w:r>
    <w:r>
      <w:rPr>
        <w:bCs/>
        <w:sz w:val="16"/>
        <w:szCs w:val="16"/>
      </w:rPr>
      <w:t xml:space="preserve">4</w:t>
    </w:r>
    <w:r>
      <w:rPr>
        <w:bCs/>
        <w:sz w:val="16"/>
        <w:szCs w:val="16"/>
      </w:rPr>
      <w:fldChar w:fldCharType="end"/>
    </w:r>
    <w:r>
      <w:rPr>
        <w:bCs/>
        <w:sz w:val="16"/>
        <w:szCs w:val="16"/>
      </w:rPr>
      <w:t xml:space="preserve"> из </w:t>
    </w:r>
    <w:r>
      <w:rPr>
        <w:bCs/>
        <w:sz w:val="16"/>
        <w:szCs w:val="16"/>
      </w:rPr>
      <w:fldChar w:fldCharType="begin"/>
    </w:r>
    <w:r>
      <w:rPr>
        <w:bCs/>
        <w:sz w:val="16"/>
        <w:szCs w:val="16"/>
      </w:rPr>
      <w:instrText xml:space="preserve">NUMPAGES</w:instrText>
    </w:r>
    <w:r>
      <w:rPr>
        <w:bCs/>
        <w:sz w:val="16"/>
        <w:szCs w:val="16"/>
      </w:rPr>
      <w:fldChar w:fldCharType="separate"/>
    </w:r>
    <w:r>
      <w:rPr>
        <w:bCs/>
        <w:sz w:val="16"/>
        <w:szCs w:val="16"/>
      </w:rPr>
      <w:t xml:space="preserve">4</w:t>
    </w:r>
    <w:r>
      <w:rPr>
        <w:bCs/>
        <w:sz w:val="16"/>
        <w:szCs w:val="16"/>
      </w:rPr>
      <w:fldChar w:fldCharType="end"/>
    </w:r>
    <w:r>
      <w:rPr>
        <w:bCs/>
        <w:sz w:val="16"/>
        <w:szCs w:val="16"/>
      </w:rPr>
    </w:r>
    <w:r>
      <w:rPr>
        <w:bCs/>
        <w:sz w:val="16"/>
        <w:szCs w:val="16"/>
      </w:rPr>
    </w:r>
  </w:p>
  <w:p>
    <w:pPr>
      <w:pStyle w:val="948"/>
    </w:pPr>
    <w:r/>
    <w:r/>
  </w:p>
  <w:p>
    <w:pPr>
      <w:pStyle w:val="948"/>
      <w:jc w:val="center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-267" w:firstLine="567"/>
        <w:tabs>
          <w:tab w:val="num" w:pos="867" w:leader="none"/>
        </w:tabs>
      </w:pPr>
      <w:rPr>
        <w:b w:val="0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276" w:hanging="708"/>
        <w:tabs>
          <w:tab w:val="num" w:pos="-1556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04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3"/>
      <w:numFmt w:val="decimalZero"/>
      <w:isLgl w:val="false"/>
      <w:suff w:val="tab"/>
      <w:lvlText w:val="%1"/>
      <w:lvlJc w:val="left"/>
      <w:pPr>
        <w:ind w:left="1080" w:hanging="1080"/>
      </w:pPr>
    </w:lvl>
    <w:lvl w:ilvl="1">
      <w:start w:val="6"/>
      <w:numFmt w:val="decimalZero"/>
      <w:isLgl w:val="false"/>
      <w:suff w:val="tab"/>
      <w:lvlText w:val="%1.%2"/>
      <w:lvlJc w:val="left"/>
      <w:pPr>
        <w:ind w:left="1080" w:hanging="1080"/>
      </w:pPr>
    </w:lvl>
    <w:lvl w:ilvl="2">
      <w:start w:val="2022"/>
      <w:numFmt w:val="decimal"/>
      <w:isLgl w:val="false"/>
      <w:suff w:val="tab"/>
      <w:lvlText w:val="%1.%2.%3"/>
      <w:lvlJc w:val="left"/>
      <w:pPr>
        <w:ind w:left="1080" w:hanging="108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510" w:hanging="397"/>
        <w:tabs>
          <w:tab w:val="num" w:pos="510" w:leader="none"/>
        </w:tabs>
      </w:pPr>
    </w:lvl>
    <w:lvl w:ilvl="1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8">
    <w:multiLevelType w:val="hybridMultilevel"/>
    <w:lvl w:ilvl="0">
      <w:start w:val="990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74" w:hanging="360"/>
      </w:pPr>
      <w:rPr>
        <w:b w:val="0"/>
        <w:sz w:val="21"/>
        <w:szCs w:val="21"/>
      </w:rPr>
    </w:lvl>
    <w:lvl w:ilvl="1">
      <w:start w:val="1"/>
      <w:numFmt w:val="decimal"/>
      <w:isLgl w:val="false"/>
      <w:suff w:val="tab"/>
      <w:lvlText w:val="%1.%2."/>
      <w:lvlJc w:val="left"/>
      <w:pPr>
        <w:ind w:left="10283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643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643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1003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1003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363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6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723" w:hanging="180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b w:val="0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44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>
    <w:multiLevelType w:val="hybridMultilevel"/>
    <w:lvl w:ilvl="0">
      <w:start w:val="990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510" w:hanging="397"/>
        <w:tabs>
          <w:tab w:val="num" w:pos="510" w:leader="none"/>
        </w:tabs>
      </w:pPr>
    </w:lvl>
    <w:lvl w:ilvl="1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881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6881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41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41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601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7601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7961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961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321" w:hanging="1800"/>
      </w:pPr>
    </w:lvl>
  </w:abstractNum>
  <w:abstractNum w:abstractNumId="34">
    <w:multiLevelType w:val="hybridMultilevel"/>
    <w:lvl w:ilvl="0">
      <w:start w:val="750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/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7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27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83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18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9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4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52" w:hanging="1800"/>
      </w:pPr>
    </w:lvl>
  </w:abstractNum>
  <w:abstractNum w:abstractNumId="37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3054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3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  <w:lang w:val="ru-RU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7"/>
  </w:num>
  <w:num w:numId="2">
    <w:abstractNumId w:val="37"/>
  </w:num>
  <w:num w:numId="3">
    <w:abstractNumId w:val="33"/>
  </w:num>
  <w:num w:numId="4">
    <w:abstractNumId w:val="30"/>
  </w:num>
  <w:num w:numId="5">
    <w:abstractNumId w:val="18"/>
  </w:num>
  <w:num w:numId="6">
    <w:abstractNumId w:val="24"/>
  </w:num>
  <w:num w:numId="7">
    <w:abstractNumId w:val="0"/>
  </w:num>
  <w:num w:numId="8">
    <w:abstractNumId w:val="10"/>
  </w:num>
  <w:num w:numId="9">
    <w:abstractNumId w:val="13"/>
  </w:num>
  <w:num w:numId="10">
    <w:abstractNumId w:val="20"/>
  </w:num>
  <w:num w:numId="11">
    <w:abstractNumId w:val="9"/>
  </w:num>
  <w:num w:numId="12">
    <w:abstractNumId w:val="28"/>
  </w:num>
  <w:num w:numId="13">
    <w:abstractNumId w:val="2"/>
  </w:num>
  <w:num w:numId="14">
    <w:abstractNumId w:val="3"/>
  </w:num>
  <w:num w:numId="15">
    <w:abstractNumId w:val="19"/>
  </w:num>
  <w:num w:numId="16">
    <w:abstractNumId w:val="27"/>
  </w:num>
  <w:num w:numId="17">
    <w:abstractNumId w:val="15"/>
  </w:num>
  <w:num w:numId="18">
    <w:abstractNumId w:val="31"/>
  </w:num>
  <w:num w:numId="19">
    <w:abstractNumId w:val="36"/>
  </w:num>
  <w:num w:numId="20">
    <w:abstractNumId w:val="22"/>
  </w:num>
  <w:num w:numId="21">
    <w:abstractNumId w:val="12"/>
  </w:num>
  <w:num w:numId="22">
    <w:abstractNumId w:val="16"/>
  </w:num>
  <w:num w:numId="23">
    <w:abstractNumId w:val="17"/>
  </w:num>
  <w:num w:numId="24">
    <w:abstractNumId w:val="35"/>
  </w:num>
  <w:num w:numId="25">
    <w:abstractNumId w:val="26"/>
  </w:num>
  <w:num w:numId="26">
    <w:abstractNumId w:val="5"/>
  </w:num>
  <w:num w:numId="27">
    <w:abstractNumId w:val="29"/>
  </w:num>
  <w:num w:numId="28">
    <w:abstractNumId w:val="21"/>
  </w:num>
  <w:num w:numId="29">
    <w:abstractNumId w:val="32"/>
  </w:num>
  <w:num w:numId="30">
    <w:abstractNumId w:val="11"/>
  </w:num>
  <w:num w:numId="31">
    <w:abstractNumId w:val="4"/>
  </w:num>
  <w:num w:numId="32">
    <w:abstractNumId w:val="6"/>
  </w:num>
  <w:num w:numId="33">
    <w:abstractNumId w:val="34"/>
  </w:num>
  <w:num w:numId="34">
    <w:abstractNumId w:val="23"/>
  </w:num>
  <w:num w:numId="35">
    <w:abstractNumId w:val="8"/>
  </w:num>
  <w:num w:numId="36">
    <w:abstractNumId w:val="14"/>
  </w:num>
  <w:num w:numId="37">
    <w:abstractNumId w:val="1"/>
  </w:num>
  <w:num w:numId="38">
    <w:abstractNumId w:val="25"/>
  </w:num>
  <w:num w:numId="39">
    <w:abstractNumId w:val="38"/>
  </w:num>
  <w:num w:numId="40">
    <w:abstractNumId w:val="39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70">
    <w:name w:val="Heading 1"/>
    <w:basedOn w:val="948"/>
    <w:next w:val="948"/>
    <w:link w:val="77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71">
    <w:name w:val="Heading 1 Char"/>
    <w:link w:val="770"/>
    <w:uiPriority w:val="9"/>
    <w:rPr>
      <w:rFonts w:ascii="Arial" w:hAnsi="Arial" w:eastAsia="Arial" w:cs="Arial"/>
      <w:sz w:val="40"/>
      <w:szCs w:val="40"/>
    </w:rPr>
  </w:style>
  <w:style w:type="paragraph" w:styleId="772">
    <w:name w:val="Heading 2"/>
    <w:basedOn w:val="948"/>
    <w:next w:val="948"/>
    <w:link w:val="77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73">
    <w:name w:val="Heading 2 Char"/>
    <w:link w:val="772"/>
    <w:uiPriority w:val="9"/>
    <w:rPr>
      <w:rFonts w:ascii="Arial" w:hAnsi="Arial" w:eastAsia="Arial" w:cs="Arial"/>
      <w:sz w:val="34"/>
    </w:rPr>
  </w:style>
  <w:style w:type="paragraph" w:styleId="774">
    <w:name w:val="Heading 3"/>
    <w:basedOn w:val="948"/>
    <w:next w:val="948"/>
    <w:link w:val="77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75">
    <w:name w:val="Heading 3 Char"/>
    <w:link w:val="774"/>
    <w:uiPriority w:val="9"/>
    <w:rPr>
      <w:rFonts w:ascii="Arial" w:hAnsi="Arial" w:eastAsia="Arial" w:cs="Arial"/>
      <w:sz w:val="30"/>
      <w:szCs w:val="30"/>
    </w:rPr>
  </w:style>
  <w:style w:type="paragraph" w:styleId="776">
    <w:name w:val="Heading 4"/>
    <w:basedOn w:val="948"/>
    <w:next w:val="948"/>
    <w:link w:val="77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77">
    <w:name w:val="Heading 4 Char"/>
    <w:link w:val="776"/>
    <w:uiPriority w:val="9"/>
    <w:rPr>
      <w:rFonts w:ascii="Arial" w:hAnsi="Arial" w:eastAsia="Arial" w:cs="Arial"/>
      <w:b/>
      <w:bCs/>
      <w:sz w:val="26"/>
      <w:szCs w:val="26"/>
    </w:rPr>
  </w:style>
  <w:style w:type="paragraph" w:styleId="778">
    <w:name w:val="Heading 5"/>
    <w:basedOn w:val="948"/>
    <w:next w:val="948"/>
    <w:link w:val="7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79">
    <w:name w:val="Heading 5 Char"/>
    <w:link w:val="778"/>
    <w:uiPriority w:val="9"/>
    <w:rPr>
      <w:rFonts w:ascii="Arial" w:hAnsi="Arial" w:eastAsia="Arial" w:cs="Arial"/>
      <w:b/>
      <w:bCs/>
      <w:sz w:val="24"/>
      <w:szCs w:val="24"/>
    </w:rPr>
  </w:style>
  <w:style w:type="paragraph" w:styleId="780">
    <w:name w:val="Heading 6"/>
    <w:basedOn w:val="948"/>
    <w:next w:val="948"/>
    <w:link w:val="78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81">
    <w:name w:val="Heading 6 Char"/>
    <w:link w:val="780"/>
    <w:uiPriority w:val="9"/>
    <w:rPr>
      <w:rFonts w:ascii="Arial" w:hAnsi="Arial" w:eastAsia="Arial" w:cs="Arial"/>
      <w:b/>
      <w:bCs/>
      <w:sz w:val="22"/>
      <w:szCs w:val="22"/>
    </w:rPr>
  </w:style>
  <w:style w:type="paragraph" w:styleId="782">
    <w:name w:val="Heading 7"/>
    <w:basedOn w:val="948"/>
    <w:next w:val="948"/>
    <w:link w:val="78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83">
    <w:name w:val="Heading 7 Char"/>
    <w:link w:val="78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84">
    <w:name w:val="Heading 8"/>
    <w:basedOn w:val="948"/>
    <w:next w:val="948"/>
    <w:link w:val="78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85">
    <w:name w:val="Heading 8 Char"/>
    <w:link w:val="784"/>
    <w:uiPriority w:val="9"/>
    <w:rPr>
      <w:rFonts w:ascii="Arial" w:hAnsi="Arial" w:eastAsia="Arial" w:cs="Arial"/>
      <w:i/>
      <w:iCs/>
      <w:sz w:val="22"/>
      <w:szCs w:val="22"/>
    </w:rPr>
  </w:style>
  <w:style w:type="paragraph" w:styleId="786">
    <w:name w:val="Heading 9"/>
    <w:basedOn w:val="948"/>
    <w:next w:val="948"/>
    <w:link w:val="7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7">
    <w:name w:val="Heading 9 Char"/>
    <w:link w:val="786"/>
    <w:uiPriority w:val="9"/>
    <w:rPr>
      <w:rFonts w:ascii="Arial" w:hAnsi="Arial" w:eastAsia="Arial" w:cs="Arial"/>
      <w:i/>
      <w:iCs/>
      <w:sz w:val="21"/>
      <w:szCs w:val="21"/>
    </w:rPr>
  </w:style>
  <w:style w:type="paragraph" w:styleId="788">
    <w:name w:val="List Paragraph"/>
    <w:basedOn w:val="948"/>
    <w:uiPriority w:val="34"/>
    <w:qFormat/>
    <w:pPr>
      <w:contextualSpacing/>
      <w:ind w:left="720"/>
    </w:pPr>
  </w:style>
  <w:style w:type="paragraph" w:styleId="789">
    <w:name w:val="No Spacing"/>
    <w:uiPriority w:val="1"/>
    <w:qFormat/>
    <w:pPr>
      <w:spacing w:before="0" w:after="0" w:line="240" w:lineRule="auto"/>
    </w:pPr>
  </w:style>
  <w:style w:type="paragraph" w:styleId="790">
    <w:name w:val="Title"/>
    <w:basedOn w:val="948"/>
    <w:next w:val="948"/>
    <w:link w:val="79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1">
    <w:name w:val="Title Char"/>
    <w:link w:val="790"/>
    <w:uiPriority w:val="10"/>
    <w:rPr>
      <w:sz w:val="48"/>
      <w:szCs w:val="48"/>
    </w:rPr>
  </w:style>
  <w:style w:type="paragraph" w:styleId="792">
    <w:name w:val="Subtitle"/>
    <w:basedOn w:val="948"/>
    <w:next w:val="948"/>
    <w:link w:val="793"/>
    <w:uiPriority w:val="11"/>
    <w:qFormat/>
    <w:pPr>
      <w:spacing w:before="200" w:after="200"/>
    </w:pPr>
    <w:rPr>
      <w:sz w:val="24"/>
      <w:szCs w:val="24"/>
    </w:rPr>
  </w:style>
  <w:style w:type="character" w:styleId="793">
    <w:name w:val="Subtitle Char"/>
    <w:link w:val="792"/>
    <w:uiPriority w:val="11"/>
    <w:rPr>
      <w:sz w:val="24"/>
      <w:szCs w:val="24"/>
    </w:rPr>
  </w:style>
  <w:style w:type="paragraph" w:styleId="794">
    <w:name w:val="Quote"/>
    <w:basedOn w:val="948"/>
    <w:next w:val="948"/>
    <w:link w:val="795"/>
    <w:uiPriority w:val="29"/>
    <w:qFormat/>
    <w:pPr>
      <w:ind w:left="720" w:right="720"/>
    </w:pPr>
    <w:rPr>
      <w:i/>
    </w:rPr>
  </w:style>
  <w:style w:type="character" w:styleId="795">
    <w:name w:val="Quote Char"/>
    <w:link w:val="794"/>
    <w:uiPriority w:val="29"/>
    <w:rPr>
      <w:i/>
    </w:rPr>
  </w:style>
  <w:style w:type="paragraph" w:styleId="796">
    <w:name w:val="Intense Quote"/>
    <w:basedOn w:val="948"/>
    <w:next w:val="948"/>
    <w:link w:val="79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7">
    <w:name w:val="Intense Quote Char"/>
    <w:link w:val="796"/>
    <w:uiPriority w:val="30"/>
    <w:rPr>
      <w:i/>
    </w:rPr>
  </w:style>
  <w:style w:type="paragraph" w:styleId="798">
    <w:name w:val="Header"/>
    <w:basedOn w:val="948"/>
    <w:link w:val="79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99">
    <w:name w:val="Header Char"/>
    <w:link w:val="798"/>
    <w:uiPriority w:val="99"/>
  </w:style>
  <w:style w:type="paragraph" w:styleId="800">
    <w:name w:val="Footer"/>
    <w:basedOn w:val="948"/>
    <w:link w:val="80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01">
    <w:name w:val="Footer Char"/>
    <w:link w:val="800"/>
    <w:uiPriority w:val="99"/>
  </w:style>
  <w:style w:type="paragraph" w:styleId="802">
    <w:name w:val="Caption"/>
    <w:basedOn w:val="948"/>
    <w:next w:val="9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3">
    <w:name w:val="Caption Char"/>
    <w:basedOn w:val="802"/>
    <w:link w:val="800"/>
    <w:uiPriority w:val="99"/>
  </w:style>
  <w:style w:type="table" w:styleId="80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3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3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3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4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4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4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4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4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4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4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5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5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6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6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7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7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9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9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9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9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0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0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0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0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0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0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0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0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2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2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2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2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2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30">
    <w:name w:val="Hyperlink"/>
    <w:uiPriority w:val="99"/>
    <w:unhideWhenUsed/>
    <w:rPr>
      <w:color w:val="0000ff" w:themeColor="hyperlink"/>
      <w:u w:val="single"/>
    </w:rPr>
  </w:style>
  <w:style w:type="paragraph" w:styleId="931">
    <w:name w:val="footnote text"/>
    <w:basedOn w:val="948"/>
    <w:link w:val="932"/>
    <w:uiPriority w:val="99"/>
    <w:semiHidden/>
    <w:unhideWhenUsed/>
    <w:pPr>
      <w:spacing w:after="40" w:line="240" w:lineRule="auto"/>
    </w:pPr>
    <w:rPr>
      <w:sz w:val="18"/>
    </w:rPr>
  </w:style>
  <w:style w:type="character" w:styleId="932">
    <w:name w:val="Footnote Text Char"/>
    <w:link w:val="931"/>
    <w:uiPriority w:val="99"/>
    <w:rPr>
      <w:sz w:val="18"/>
    </w:rPr>
  </w:style>
  <w:style w:type="character" w:styleId="933">
    <w:name w:val="footnote reference"/>
    <w:uiPriority w:val="99"/>
    <w:unhideWhenUsed/>
    <w:rPr>
      <w:vertAlign w:val="superscript"/>
    </w:rPr>
  </w:style>
  <w:style w:type="paragraph" w:styleId="934">
    <w:name w:val="endnote text"/>
    <w:basedOn w:val="948"/>
    <w:link w:val="935"/>
    <w:uiPriority w:val="99"/>
    <w:semiHidden/>
    <w:unhideWhenUsed/>
    <w:pPr>
      <w:spacing w:after="0" w:line="240" w:lineRule="auto"/>
    </w:pPr>
    <w:rPr>
      <w:sz w:val="20"/>
    </w:rPr>
  </w:style>
  <w:style w:type="character" w:styleId="935">
    <w:name w:val="Endnote Text Char"/>
    <w:link w:val="934"/>
    <w:uiPriority w:val="99"/>
    <w:rPr>
      <w:sz w:val="20"/>
    </w:rPr>
  </w:style>
  <w:style w:type="character" w:styleId="936">
    <w:name w:val="endnote reference"/>
    <w:uiPriority w:val="99"/>
    <w:semiHidden/>
    <w:unhideWhenUsed/>
    <w:rPr>
      <w:vertAlign w:val="superscript"/>
    </w:rPr>
  </w:style>
  <w:style w:type="paragraph" w:styleId="937">
    <w:name w:val="toc 1"/>
    <w:basedOn w:val="948"/>
    <w:next w:val="948"/>
    <w:uiPriority w:val="39"/>
    <w:unhideWhenUsed/>
    <w:pPr>
      <w:ind w:left="0" w:right="0" w:firstLine="0"/>
      <w:spacing w:after="57"/>
    </w:pPr>
  </w:style>
  <w:style w:type="paragraph" w:styleId="938">
    <w:name w:val="toc 2"/>
    <w:basedOn w:val="948"/>
    <w:next w:val="948"/>
    <w:uiPriority w:val="39"/>
    <w:unhideWhenUsed/>
    <w:pPr>
      <w:ind w:left="283" w:right="0" w:firstLine="0"/>
      <w:spacing w:after="57"/>
    </w:pPr>
  </w:style>
  <w:style w:type="paragraph" w:styleId="939">
    <w:name w:val="toc 3"/>
    <w:basedOn w:val="948"/>
    <w:next w:val="948"/>
    <w:uiPriority w:val="39"/>
    <w:unhideWhenUsed/>
    <w:pPr>
      <w:ind w:left="567" w:right="0" w:firstLine="0"/>
      <w:spacing w:after="57"/>
    </w:pPr>
  </w:style>
  <w:style w:type="paragraph" w:styleId="940">
    <w:name w:val="toc 4"/>
    <w:basedOn w:val="948"/>
    <w:next w:val="948"/>
    <w:uiPriority w:val="39"/>
    <w:unhideWhenUsed/>
    <w:pPr>
      <w:ind w:left="850" w:right="0" w:firstLine="0"/>
      <w:spacing w:after="57"/>
    </w:pPr>
  </w:style>
  <w:style w:type="paragraph" w:styleId="941">
    <w:name w:val="toc 5"/>
    <w:basedOn w:val="948"/>
    <w:next w:val="948"/>
    <w:uiPriority w:val="39"/>
    <w:unhideWhenUsed/>
    <w:pPr>
      <w:ind w:left="1134" w:right="0" w:firstLine="0"/>
      <w:spacing w:after="57"/>
    </w:pPr>
  </w:style>
  <w:style w:type="paragraph" w:styleId="942">
    <w:name w:val="toc 6"/>
    <w:basedOn w:val="948"/>
    <w:next w:val="948"/>
    <w:uiPriority w:val="39"/>
    <w:unhideWhenUsed/>
    <w:pPr>
      <w:ind w:left="1417" w:right="0" w:firstLine="0"/>
      <w:spacing w:after="57"/>
    </w:pPr>
  </w:style>
  <w:style w:type="paragraph" w:styleId="943">
    <w:name w:val="toc 7"/>
    <w:basedOn w:val="948"/>
    <w:next w:val="948"/>
    <w:uiPriority w:val="39"/>
    <w:unhideWhenUsed/>
    <w:pPr>
      <w:ind w:left="1701" w:right="0" w:firstLine="0"/>
      <w:spacing w:after="57"/>
    </w:pPr>
  </w:style>
  <w:style w:type="paragraph" w:styleId="944">
    <w:name w:val="toc 8"/>
    <w:basedOn w:val="948"/>
    <w:next w:val="948"/>
    <w:uiPriority w:val="39"/>
    <w:unhideWhenUsed/>
    <w:pPr>
      <w:ind w:left="1984" w:right="0" w:firstLine="0"/>
      <w:spacing w:after="57"/>
    </w:pPr>
  </w:style>
  <w:style w:type="paragraph" w:styleId="945">
    <w:name w:val="toc 9"/>
    <w:basedOn w:val="948"/>
    <w:next w:val="948"/>
    <w:uiPriority w:val="39"/>
    <w:unhideWhenUsed/>
    <w:pPr>
      <w:ind w:left="2268" w:right="0" w:firstLine="0"/>
      <w:spacing w:after="57"/>
    </w:pPr>
  </w:style>
  <w:style w:type="paragraph" w:styleId="946">
    <w:name w:val="TOC Heading"/>
    <w:uiPriority w:val="39"/>
    <w:unhideWhenUsed/>
  </w:style>
  <w:style w:type="paragraph" w:styleId="947">
    <w:name w:val="table of figures"/>
    <w:basedOn w:val="948"/>
    <w:next w:val="948"/>
    <w:uiPriority w:val="99"/>
    <w:unhideWhenUsed/>
    <w:pPr>
      <w:spacing w:after="0" w:afterAutospacing="0"/>
    </w:pPr>
  </w:style>
  <w:style w:type="paragraph" w:styleId="948" w:default="1">
    <w:name w:val="Normal"/>
    <w:next w:val="948"/>
    <w:link w:val="948"/>
    <w:qFormat/>
    <w:rPr>
      <w:sz w:val="24"/>
      <w:szCs w:val="24"/>
      <w:lang w:val="ru-RU" w:eastAsia="ru-RU" w:bidi="ar-SA"/>
    </w:rPr>
  </w:style>
  <w:style w:type="paragraph" w:styleId="949">
    <w:name w:val="Заголовок 1,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948"/>
    <w:next w:val="948"/>
    <w:link w:val="976"/>
    <w:qFormat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/>
      <w:b/>
      <w:sz w:val="40"/>
      <w:lang w:val="en-US" w:eastAsia="en-US"/>
    </w:rPr>
  </w:style>
  <w:style w:type="paragraph" w:styleId="950">
    <w:name w:val="Заголовок 2,Заголовок 2 Знак,H2,H2 Знак,Заголовок 21,2,h2,Б2,RTC,iz2,Заголовок 2 Знак1,Numbered text 3,HD2,heading 2,Heading 2 Hidden,Раздел Знак,Заголовок 2 Знак Знак,Level 2 Topic Heading,H21,Major,CHS,H2-Heading 2,l2,Header2,22,heading2,list2,A,A.B.C."/>
    <w:basedOn w:val="948"/>
    <w:next w:val="948"/>
    <w:link w:val="948"/>
    <w:qFormat/>
    <w:pPr>
      <w:jc w:val="both"/>
      <w:keepNext/>
      <w:outlineLvl w:val="1"/>
    </w:pPr>
    <w:rPr>
      <w:sz w:val="24"/>
    </w:rPr>
  </w:style>
  <w:style w:type="paragraph" w:styleId="951">
    <w:name w:val="Заголовок 3"/>
    <w:basedOn w:val="948"/>
    <w:next w:val="948"/>
    <w:link w:val="990"/>
    <w:semiHidden/>
    <w:unhideWhenUsed/>
    <w:qFormat/>
    <w:pPr>
      <w:keepNext/>
      <w:spacing w:before="240" w:after="60"/>
      <w:outlineLvl w:val="2"/>
    </w:pPr>
    <w:rPr>
      <w:rFonts w:ascii="Cambria" w:hAnsi="Cambria" w:eastAsia="Times New Roman" w:cs="Times New Roman"/>
      <w:b/>
      <w:bCs/>
      <w:sz w:val="26"/>
      <w:szCs w:val="26"/>
    </w:rPr>
  </w:style>
  <w:style w:type="paragraph" w:styleId="952">
    <w:name w:val="Заголовок 5"/>
    <w:basedOn w:val="948"/>
    <w:next w:val="948"/>
    <w:link w:val="948"/>
    <w:qFormat/>
    <w:pPr>
      <w:keepNext/>
      <w:outlineLvl w:val="4"/>
    </w:pPr>
    <w:rPr>
      <w:rFonts w:ascii="Times New Roman" w:hAnsi="Times New Roman"/>
      <w:b/>
      <w:bCs/>
      <w:sz w:val="24"/>
    </w:rPr>
  </w:style>
  <w:style w:type="paragraph" w:styleId="953">
    <w:name w:val="Заголовок 9"/>
    <w:basedOn w:val="948"/>
    <w:next w:val="948"/>
    <w:link w:val="989"/>
    <w:qFormat/>
    <w:pPr>
      <w:jc w:val="center"/>
      <w:keepNext/>
      <w:outlineLvl w:val="8"/>
    </w:pPr>
    <w:rPr>
      <w:rFonts w:ascii="Times New Roman" w:hAnsi="Times New Roman"/>
      <w:sz w:val="24"/>
    </w:rPr>
  </w:style>
  <w:style w:type="character" w:styleId="954">
    <w:name w:val="Основной шрифт абзаца"/>
    <w:next w:val="954"/>
    <w:link w:val="948"/>
    <w:semiHidden/>
  </w:style>
  <w:style w:type="table" w:styleId="955">
    <w:name w:val="Обычная таблица"/>
    <w:next w:val="955"/>
    <w:link w:val="948"/>
    <w:semiHidden/>
    <w:tblPr/>
  </w:style>
  <w:style w:type="numbering" w:styleId="956">
    <w:name w:val="Нет списка"/>
    <w:next w:val="956"/>
    <w:link w:val="948"/>
    <w:semiHidden/>
  </w:style>
  <w:style w:type="character" w:styleId="957">
    <w:name w:val="Гиперссылка"/>
    <w:next w:val="957"/>
    <w:link w:val="948"/>
    <w:rPr>
      <w:color w:val="0000ff"/>
      <w:u w:val="single"/>
    </w:rPr>
  </w:style>
  <w:style w:type="paragraph" w:styleId="958">
    <w:name w:val="Верхний колонтитул"/>
    <w:basedOn w:val="948"/>
    <w:next w:val="958"/>
    <w:link w:val="969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paragraph" w:styleId="959">
    <w:name w:val="Нижний колонтитул"/>
    <w:basedOn w:val="948"/>
    <w:next w:val="959"/>
    <w:link w:val="966"/>
    <w:uiPriority w:val="99"/>
    <w:pPr>
      <w:tabs>
        <w:tab w:val="center" w:pos="4677" w:leader="none"/>
        <w:tab w:val="right" w:pos="9355" w:leader="none"/>
      </w:tabs>
    </w:pPr>
  </w:style>
  <w:style w:type="paragraph" w:styleId="960">
    <w:name w:val="Текст выноски"/>
    <w:basedOn w:val="948"/>
    <w:next w:val="960"/>
    <w:link w:val="973"/>
    <w:semiHidden/>
    <w:rPr>
      <w:rFonts w:ascii="Tahoma" w:hAnsi="Tahoma"/>
      <w:sz w:val="16"/>
      <w:szCs w:val="16"/>
      <w:lang w:val="en-US" w:eastAsia="en-US"/>
    </w:rPr>
  </w:style>
  <w:style w:type="paragraph" w:styleId="961">
    <w:name w:val="Основной текст,Основной текст таблиц,в таблице,таблицы,в таблицах, в таблице, в таблицах"/>
    <w:basedOn w:val="948"/>
    <w:next w:val="961"/>
    <w:link w:val="987"/>
    <w:pPr>
      <w:ind w:right="4961"/>
      <w:tabs>
        <w:tab w:val="left" w:pos="4536" w:leader="none"/>
      </w:tabs>
    </w:pPr>
    <w:rPr>
      <w:sz w:val="24"/>
    </w:rPr>
  </w:style>
  <w:style w:type="paragraph" w:styleId="962">
    <w:name w:val="Normal1"/>
    <w:next w:val="962"/>
    <w:link w:val="948"/>
    <w:pPr>
      <w:spacing w:before="100" w:after="100"/>
    </w:pPr>
    <w:rPr>
      <w:sz w:val="24"/>
      <w:lang w:val="ru-RU" w:eastAsia="ru-RU" w:bidi="ar-SA"/>
    </w:rPr>
  </w:style>
  <w:style w:type="paragraph" w:styleId="963">
    <w:name w:val="Нумерованный список"/>
    <w:basedOn w:val="948"/>
    <w:next w:val="963"/>
    <w:link w:val="948"/>
    <w:pPr>
      <w:jc w:val="both"/>
      <w:spacing w:before="60" w:line="360" w:lineRule="auto"/>
    </w:pPr>
    <w:rPr>
      <w:rFonts w:ascii="Times New Roman" w:hAnsi="Times New Roman"/>
      <w:sz w:val="28"/>
      <w:szCs w:val="24"/>
    </w:rPr>
  </w:style>
  <w:style w:type="paragraph" w:styleId="964">
    <w:name w:val="Пункт"/>
    <w:basedOn w:val="948"/>
    <w:next w:val="964"/>
    <w:link w:val="965"/>
    <w:pPr>
      <w:ind w:left="1134" w:hanging="1134"/>
      <w:jc w:val="both"/>
      <w:spacing w:line="360" w:lineRule="auto"/>
      <w:tabs>
        <w:tab w:val="num" w:pos="1134" w:leader="none"/>
      </w:tabs>
    </w:pPr>
    <w:rPr>
      <w:rFonts w:ascii="Times New Roman" w:hAnsi="Times New Roman"/>
      <w:sz w:val="28"/>
    </w:rPr>
  </w:style>
  <w:style w:type="character" w:styleId="965">
    <w:name w:val="Пункт Знак1"/>
    <w:next w:val="965"/>
    <w:link w:val="964"/>
    <w:rPr>
      <w:sz w:val="28"/>
      <w:lang w:val="ru-RU" w:eastAsia="ru-RU" w:bidi="ar-SA"/>
    </w:rPr>
  </w:style>
  <w:style w:type="character" w:styleId="966">
    <w:name w:val="Нижний колонтитул Знак"/>
    <w:next w:val="966"/>
    <w:link w:val="959"/>
    <w:uiPriority w:val="99"/>
    <w:rPr>
      <w:rFonts w:ascii="Times New Roman CYR" w:hAnsi="Times New Roman CYR"/>
      <w:lang w:val="ru-RU" w:eastAsia="ru-RU" w:bidi="ar-SA"/>
    </w:rPr>
  </w:style>
  <w:style w:type="paragraph" w:styleId="967">
    <w:name w:val="Стиль Основной текст с отступом + 12 пт По ширине Слева:  0 см П..."/>
    <w:basedOn w:val="968"/>
    <w:next w:val="967"/>
    <w:link w:val="948"/>
    <w:pPr>
      <w:ind w:left="0" w:firstLine="567"/>
      <w:jc w:val="both"/>
      <w:spacing w:after="0"/>
    </w:pPr>
    <w:rPr>
      <w:rFonts w:ascii="Times New Roman" w:hAnsi="Times New Roman"/>
      <w:sz w:val="24"/>
    </w:rPr>
  </w:style>
  <w:style w:type="paragraph" w:styleId="968">
    <w:name w:val="Основной текст с отступом"/>
    <w:basedOn w:val="948"/>
    <w:next w:val="968"/>
    <w:link w:val="980"/>
    <w:pPr>
      <w:ind w:left="283"/>
      <w:spacing w:after="120"/>
    </w:pPr>
    <w:rPr>
      <w:lang w:val="en-US" w:eastAsia="en-US"/>
    </w:rPr>
  </w:style>
  <w:style w:type="character" w:styleId="969">
    <w:name w:val="Верхний колонтитул Знак"/>
    <w:next w:val="969"/>
    <w:link w:val="958"/>
    <w:uiPriority w:val="99"/>
    <w:rPr>
      <w:rFonts w:ascii="Times New Roman CYR" w:hAnsi="Times New Roman CYR"/>
    </w:rPr>
  </w:style>
  <w:style w:type="character" w:styleId="970">
    <w:name w:val="комментарий"/>
    <w:next w:val="970"/>
    <w:link w:val="948"/>
    <w:rPr>
      <w:b/>
      <w:i/>
      <w:shd w:val="clear" w:color="auto" w:fill="ffff99"/>
    </w:rPr>
  </w:style>
  <w:style w:type="paragraph" w:styleId="971">
    <w:name w:val="Название"/>
    <w:basedOn w:val="948"/>
    <w:next w:val="971"/>
    <w:link w:val="972"/>
    <w:qFormat/>
    <w:pPr>
      <w:jc w:val="center"/>
    </w:pPr>
    <w:rPr>
      <w:rFonts w:ascii="Times New Roman" w:hAnsi="Times New Roman"/>
      <w:b/>
      <w:sz w:val="22"/>
      <w:lang w:val="en-US" w:eastAsia="en-US"/>
    </w:rPr>
  </w:style>
  <w:style w:type="character" w:styleId="972">
    <w:name w:val="Название Знак"/>
    <w:next w:val="972"/>
    <w:link w:val="971"/>
    <w:rPr>
      <w:b/>
      <w:sz w:val="22"/>
    </w:rPr>
  </w:style>
  <w:style w:type="character" w:styleId="973">
    <w:name w:val="Текст выноски Знак"/>
    <w:next w:val="973"/>
    <w:link w:val="960"/>
    <w:semiHidden/>
    <w:rPr>
      <w:rFonts w:ascii="Tahoma" w:hAnsi="Tahoma" w:cs="Tahoma"/>
      <w:sz w:val="16"/>
      <w:szCs w:val="16"/>
    </w:rPr>
  </w:style>
  <w:style w:type="paragraph" w:styleId="974">
    <w:name w:val="Обычный2"/>
    <w:next w:val="974"/>
    <w:link w:val="948"/>
    <w:pPr>
      <w:spacing w:before="100" w:after="100"/>
    </w:pPr>
    <w:rPr>
      <w:sz w:val="24"/>
      <w:lang w:val="ru-RU" w:eastAsia="ru-RU" w:bidi="ar-SA"/>
    </w:rPr>
  </w:style>
  <w:style w:type="character" w:styleId="975">
    <w:name w:val="Строгий,0 Текст,0-текст,Заголовок  1"/>
    <w:next w:val="975"/>
    <w:link w:val="948"/>
    <w:uiPriority w:val="22"/>
    <w:qFormat/>
    <w:rPr>
      <w:b/>
      <w:bCs/>
    </w:rPr>
  </w:style>
  <w:style w:type="character" w:styleId="976">
    <w:name w:val="Заголовок 1 Знак"/>
    <w:next w:val="976"/>
    <w:link w:val="949"/>
    <w:rPr>
      <w:rFonts w:ascii="Arial" w:hAnsi="Arial"/>
      <w:b/>
      <w:sz w:val="40"/>
    </w:rPr>
  </w:style>
  <w:style w:type="paragraph" w:styleId="977">
    <w:name w:val="Подпункт"/>
    <w:basedOn w:val="964"/>
    <w:next w:val="977"/>
    <w:link w:val="948"/>
    <w:pPr>
      <w:ind w:left="1276"/>
      <w:tabs>
        <w:tab w:val="clear" w:pos="1134" w:leader="none"/>
        <w:tab w:val="num" w:pos="1276" w:leader="none"/>
      </w:tabs>
    </w:pPr>
    <w:rPr>
      <w:lang w:val="en-US" w:eastAsia="en-US"/>
    </w:rPr>
  </w:style>
  <w:style w:type="paragraph" w:styleId="978">
    <w:name w:val="Подподпункт"/>
    <w:basedOn w:val="977"/>
    <w:next w:val="978"/>
    <w:link w:val="979"/>
    <w:pPr>
      <w:ind w:left="1702" w:hanging="567"/>
      <w:tabs>
        <w:tab w:val="clear" w:pos="1276" w:leader="none"/>
        <w:tab w:val="num" w:pos="1702" w:leader="none"/>
      </w:tabs>
    </w:pPr>
  </w:style>
  <w:style w:type="character" w:styleId="979">
    <w:name w:val="Подподпункт Знак"/>
    <w:next w:val="979"/>
    <w:link w:val="978"/>
    <w:rPr>
      <w:sz w:val="28"/>
      <w:lang w:val="en-US" w:eastAsia="en-US"/>
    </w:rPr>
  </w:style>
  <w:style w:type="character" w:styleId="980">
    <w:name w:val="Основной текст с отступом Знак"/>
    <w:next w:val="980"/>
    <w:link w:val="968"/>
    <w:rPr>
      <w:rFonts w:ascii="Times New Roman CYR" w:hAnsi="Times New Roman CYR"/>
    </w:rPr>
  </w:style>
  <w:style w:type="paragraph" w:styleId="981">
    <w:name w:val="Абзац списка,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948"/>
    <w:next w:val="981"/>
    <w:link w:val="991"/>
    <w:qFormat/>
    <w:pPr>
      <w:contextualSpacing/>
      <w:ind w:left="720"/>
    </w:pPr>
  </w:style>
  <w:style w:type="table" w:styleId="982">
    <w:name w:val="Сетка таблицы"/>
    <w:basedOn w:val="955"/>
    <w:next w:val="982"/>
    <w:link w:val="948"/>
    <w:uiPriority w:val="59"/>
    <w:tblPr/>
  </w:style>
  <w:style w:type="character" w:styleId="983">
    <w:name w:val="Основной текст_"/>
    <w:next w:val="983"/>
    <w:link w:val="984"/>
    <w:rPr>
      <w:sz w:val="18"/>
      <w:szCs w:val="18"/>
      <w:shd w:val="clear" w:color="auto" w:fill="ffffff"/>
    </w:rPr>
  </w:style>
  <w:style w:type="paragraph" w:styleId="984">
    <w:name w:val="Основной текст2"/>
    <w:basedOn w:val="948"/>
    <w:next w:val="984"/>
    <w:link w:val="983"/>
    <w:pPr>
      <w:ind w:firstLine="2280"/>
      <w:spacing w:after="240" w:line="235" w:lineRule="exact"/>
      <w:shd w:val="clear" w:color="auto" w:fill="ffffff"/>
      <w:widowControl w:val="off"/>
    </w:pPr>
    <w:rPr>
      <w:rFonts w:ascii="Times New Roman" w:hAnsi="Times New Roman"/>
      <w:sz w:val="18"/>
      <w:szCs w:val="18"/>
    </w:rPr>
  </w:style>
  <w:style w:type="paragraph" w:styleId="985">
    <w:name w:val="Основной текст с отступом 2"/>
    <w:basedOn w:val="948"/>
    <w:next w:val="985"/>
    <w:link w:val="986"/>
    <w:pPr>
      <w:ind w:left="283"/>
      <w:spacing w:after="120" w:line="480" w:lineRule="auto"/>
    </w:pPr>
  </w:style>
  <w:style w:type="character" w:styleId="986">
    <w:name w:val="Основной текст с отступом 2 Знак"/>
    <w:next w:val="986"/>
    <w:link w:val="985"/>
    <w:rPr>
      <w:rFonts w:ascii="Times New Roman CYR" w:hAnsi="Times New Roman CYR"/>
    </w:rPr>
  </w:style>
  <w:style w:type="character" w:styleId="987">
    <w:name w:val="Основной текст Знак,Основной текст таблиц Знак,в таблице Знак,таблицы Знак,в таблицах Знак, в таблице Знак, в таблицах Знак"/>
    <w:next w:val="987"/>
    <w:link w:val="961"/>
    <w:rPr>
      <w:rFonts w:ascii="Times New Roman CYR" w:hAnsi="Times New Roman CYR"/>
      <w:sz w:val="24"/>
    </w:rPr>
  </w:style>
  <w:style w:type="paragraph" w:styleId="988">
    <w:name w:val="FTN_таб"/>
    <w:basedOn w:val="948"/>
    <w:next w:val="988"/>
    <w:link w:val="948"/>
    <w:pPr>
      <w:jc w:val="both"/>
      <w:widowControl w:val="off"/>
      <w:tabs>
        <w:tab w:val="left" w:pos="709" w:leader="none"/>
      </w:tabs>
    </w:pPr>
    <w:rPr>
      <w:rFonts w:eastAsia="Arial Unicode MS"/>
      <w:sz w:val="22"/>
    </w:rPr>
  </w:style>
  <w:style w:type="character" w:styleId="989">
    <w:name w:val="Заголовок 9 Знак"/>
    <w:next w:val="989"/>
    <w:link w:val="953"/>
    <w:rPr>
      <w:sz w:val="24"/>
      <w:szCs w:val="24"/>
    </w:rPr>
  </w:style>
  <w:style w:type="character" w:styleId="990">
    <w:name w:val="Заголовок 3 Знак"/>
    <w:next w:val="990"/>
    <w:link w:val="951"/>
    <w:semiHidden/>
    <w:rPr>
      <w:rFonts w:ascii="Cambria" w:hAnsi="Cambria" w:eastAsia="Times New Roman" w:cs="Times New Roman"/>
      <w:b/>
      <w:bCs/>
      <w:sz w:val="26"/>
      <w:szCs w:val="26"/>
    </w:rPr>
  </w:style>
  <w:style w:type="character" w:styleId="991">
    <w:name w:val="Абзац списка Знак,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next w:val="991"/>
    <w:link w:val="981"/>
    <w:uiPriority w:val="34"/>
    <w:qFormat/>
    <w:rPr>
      <w:sz w:val="24"/>
      <w:szCs w:val="24"/>
    </w:rPr>
  </w:style>
  <w:style w:type="character" w:styleId="992">
    <w:name w:val="otvet_krasn_30"/>
    <w:next w:val="992"/>
    <w:link w:val="948"/>
  </w:style>
  <w:style w:type="character" w:styleId="993" w:default="1">
    <w:name w:val="Default Paragraph Font"/>
    <w:uiPriority w:val="1"/>
    <w:semiHidden/>
    <w:unhideWhenUsed/>
  </w:style>
  <w:style w:type="numbering" w:styleId="994" w:default="1">
    <w:name w:val="No List"/>
    <w:uiPriority w:val="99"/>
    <w:semiHidden/>
    <w:unhideWhenUsed/>
  </w:style>
  <w:style w:type="table" w:styleId="99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Home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№ОК-11/5Б-2</dc:title>
  <dc:creator>Korotkina.OF</dc:creator>
  <cp:revision>1286</cp:revision>
  <dcterms:created xsi:type="dcterms:W3CDTF">2020-07-08T05:59:00Z</dcterms:created>
  <dcterms:modified xsi:type="dcterms:W3CDTF">2025-04-02T14:53:42Z</dcterms:modified>
  <cp:version>1048576</cp:version>
</cp:coreProperties>
</file>